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A789E" w14:textId="2E99AEE7" w:rsidR="00D076E8" w:rsidRDefault="009729A3" w:rsidP="00D076E8">
      <w:pPr>
        <w:jc w:val="both"/>
        <w:rPr>
          <w:rFonts w:ascii="Georgia" w:hAnsi="Georgia" w:cs="Times New Roman"/>
          <w:b/>
          <w:bCs/>
          <w:sz w:val="28"/>
          <w:szCs w:val="24"/>
        </w:rPr>
      </w:pPr>
      <w:r>
        <w:rPr>
          <w:rFonts w:ascii="Georgia" w:hAnsi="Georgia" w:cs="Times New Roman"/>
          <w:b/>
          <w:bCs/>
          <w:sz w:val="28"/>
          <w:szCs w:val="24"/>
        </w:rPr>
        <w:t>202</w:t>
      </w:r>
      <w:r w:rsidR="00282C2B">
        <w:rPr>
          <w:rFonts w:ascii="Georgia" w:hAnsi="Georgia" w:cs="Times New Roman"/>
          <w:b/>
          <w:bCs/>
          <w:sz w:val="28"/>
          <w:szCs w:val="24"/>
        </w:rPr>
        <w:t>6</w:t>
      </w:r>
      <w:r>
        <w:rPr>
          <w:rFonts w:ascii="Georgia" w:hAnsi="Georgia" w:cs="Times New Roman"/>
          <w:b/>
          <w:bCs/>
          <w:sz w:val="28"/>
          <w:szCs w:val="24"/>
        </w:rPr>
        <w:t xml:space="preserve">.gada </w:t>
      </w:r>
      <w:r w:rsidR="00282C2B">
        <w:rPr>
          <w:rFonts w:ascii="Georgia" w:hAnsi="Georgia" w:cs="Times New Roman"/>
          <w:b/>
          <w:bCs/>
          <w:sz w:val="28"/>
          <w:szCs w:val="24"/>
        </w:rPr>
        <w:t>2</w:t>
      </w:r>
      <w:r w:rsidR="001833D2">
        <w:rPr>
          <w:rFonts w:ascii="Georgia" w:hAnsi="Georgia" w:cs="Times New Roman"/>
          <w:b/>
          <w:bCs/>
          <w:sz w:val="28"/>
          <w:szCs w:val="24"/>
        </w:rPr>
        <w:t>6.augustā</w:t>
      </w:r>
      <w:r w:rsidR="00BC6E40">
        <w:rPr>
          <w:rFonts w:ascii="Georgia" w:hAnsi="Georgia" w:cs="Times New Roman"/>
          <w:b/>
          <w:bCs/>
          <w:sz w:val="28"/>
          <w:szCs w:val="24"/>
        </w:rPr>
        <w:t xml:space="preserve"> </w:t>
      </w:r>
      <w:r w:rsidR="005610FC">
        <w:rPr>
          <w:rFonts w:ascii="Georgia" w:hAnsi="Georgia" w:cs="Times New Roman"/>
          <w:b/>
          <w:bCs/>
          <w:sz w:val="28"/>
          <w:szCs w:val="24"/>
        </w:rPr>
        <w:t>n</w:t>
      </w:r>
      <w:r w:rsidR="00D076E8">
        <w:rPr>
          <w:rFonts w:ascii="Georgia" w:hAnsi="Georgia" w:cs="Times New Roman"/>
          <w:b/>
          <w:bCs/>
          <w:sz w:val="28"/>
          <w:szCs w:val="24"/>
        </w:rPr>
        <w:t xml:space="preserve">otika NVO un MK sadarbības memoranda īstenošanas padomes sēde </w:t>
      </w:r>
    </w:p>
    <w:p w14:paraId="09F68DA4" w14:textId="77777777" w:rsidR="00794164" w:rsidRDefault="00794164" w:rsidP="00D076E8">
      <w:pPr>
        <w:ind w:firstLine="360"/>
        <w:jc w:val="both"/>
        <w:rPr>
          <w:rFonts w:ascii="Georgia" w:hAnsi="Georgia" w:cs="Times New Roman"/>
          <w:bCs/>
          <w:sz w:val="28"/>
          <w:szCs w:val="24"/>
        </w:rPr>
      </w:pPr>
    </w:p>
    <w:p w14:paraId="65617B33" w14:textId="77777777" w:rsidR="00794164" w:rsidRDefault="00794164" w:rsidP="00794164">
      <w:pPr>
        <w:ind w:firstLine="360"/>
        <w:jc w:val="both"/>
        <w:rPr>
          <w:rFonts w:ascii="Georgia" w:hAnsi="Georgia" w:cs="Times New Roman"/>
          <w:bCs/>
          <w:sz w:val="28"/>
          <w:szCs w:val="24"/>
        </w:rPr>
      </w:pPr>
      <w:r>
        <w:rPr>
          <w:rFonts w:ascii="Georgia" w:hAnsi="Georgia" w:cs="Times New Roman"/>
          <w:bCs/>
          <w:sz w:val="28"/>
          <w:szCs w:val="24"/>
        </w:rPr>
        <w:t>Sēde notiek klātienē un attālināti dalībniekiem elektroniski ir izsūtīti sēdes darba kārtībā iekļautie izskatāmie jautājumi.</w:t>
      </w:r>
    </w:p>
    <w:p w14:paraId="67C03229" w14:textId="77777777" w:rsidR="00794164" w:rsidRDefault="00794164" w:rsidP="00794164">
      <w:pPr>
        <w:ind w:firstLine="360"/>
        <w:jc w:val="both"/>
        <w:rPr>
          <w:rFonts w:ascii="Georgia" w:hAnsi="Georgia" w:cs="Times New Roman"/>
          <w:bCs/>
          <w:sz w:val="28"/>
          <w:szCs w:val="24"/>
        </w:rPr>
      </w:pPr>
      <w:r w:rsidRPr="00872A41">
        <w:rPr>
          <w:rFonts w:ascii="Georgia" w:hAnsi="Georgia" w:cs="Times New Roman"/>
          <w:b/>
          <w:bCs/>
          <w:sz w:val="28"/>
          <w:szCs w:val="24"/>
        </w:rPr>
        <w:t>Darba kārtība:</w:t>
      </w:r>
      <w:r>
        <w:rPr>
          <w:rFonts w:ascii="Georgia" w:hAnsi="Georgia" w:cs="Times New Roman"/>
          <w:bCs/>
          <w:sz w:val="28"/>
          <w:szCs w:val="24"/>
        </w:rPr>
        <w:t xml:space="preserve"> </w:t>
      </w:r>
    </w:p>
    <w:p w14:paraId="40D44D18" w14:textId="5256A1FD" w:rsidR="00282C2B" w:rsidRPr="00282C2B" w:rsidRDefault="00794164" w:rsidP="00282C2B">
      <w:pPr>
        <w:pStyle w:val="ListParagraph"/>
        <w:numPr>
          <w:ilvl w:val="0"/>
          <w:numId w:val="2"/>
        </w:numPr>
        <w:jc w:val="both"/>
        <w:rPr>
          <w:rFonts w:ascii="Georgia" w:hAnsi="Georgia" w:cs="Times New Roman"/>
          <w:bCs/>
          <w:sz w:val="28"/>
          <w:szCs w:val="24"/>
        </w:rPr>
      </w:pPr>
      <w:r w:rsidRPr="00794164">
        <w:rPr>
          <w:rFonts w:ascii="Georgia" w:hAnsi="Georgia" w:cs="Times New Roman"/>
          <w:bCs/>
          <w:sz w:val="28"/>
          <w:szCs w:val="24"/>
        </w:rPr>
        <w:t xml:space="preserve">Par </w:t>
      </w:r>
      <w:r w:rsidR="001833D2">
        <w:rPr>
          <w:rFonts w:ascii="Georgia" w:hAnsi="Georgia" w:cs="Times New Roman"/>
          <w:bCs/>
          <w:sz w:val="28"/>
          <w:szCs w:val="24"/>
        </w:rPr>
        <w:t>a</w:t>
      </w:r>
      <w:r w:rsidR="001833D2" w:rsidRPr="001833D2">
        <w:rPr>
          <w:rFonts w:ascii="Georgia" w:hAnsi="Georgia" w:cs="Times New Roman"/>
          <w:bCs/>
          <w:sz w:val="28"/>
          <w:szCs w:val="24"/>
        </w:rPr>
        <w:t>ttīstības plānošanas sistēmas izmaiņ</w:t>
      </w:r>
      <w:r w:rsidR="001833D2">
        <w:rPr>
          <w:rFonts w:ascii="Georgia" w:hAnsi="Georgia" w:cs="Times New Roman"/>
          <w:bCs/>
          <w:sz w:val="28"/>
          <w:szCs w:val="24"/>
        </w:rPr>
        <w:t>ām</w:t>
      </w:r>
      <w:r w:rsidR="001833D2" w:rsidRPr="001833D2">
        <w:rPr>
          <w:rFonts w:ascii="Georgia" w:hAnsi="Georgia" w:cs="Times New Roman"/>
          <w:bCs/>
          <w:sz w:val="28"/>
          <w:szCs w:val="24"/>
        </w:rPr>
        <w:t xml:space="preserve"> un Latvijas ilgtspējīgas attīstības stratēģijas līdz 2050. gadam un Nacionālā attīstības plāna 2028.-2034. gadam izstrādes proces</w:t>
      </w:r>
      <w:r w:rsidR="001833D2">
        <w:rPr>
          <w:rFonts w:ascii="Georgia" w:hAnsi="Georgia" w:cs="Times New Roman"/>
          <w:bCs/>
          <w:sz w:val="28"/>
          <w:szCs w:val="24"/>
        </w:rPr>
        <w:t>u</w:t>
      </w:r>
      <w:r w:rsidR="00601680" w:rsidRPr="00601680">
        <w:rPr>
          <w:rFonts w:ascii="Georgia" w:hAnsi="Georgia" w:cs="Times New Roman"/>
          <w:bCs/>
          <w:sz w:val="28"/>
          <w:szCs w:val="24"/>
        </w:rPr>
        <w:t xml:space="preserve"> </w:t>
      </w:r>
    </w:p>
    <w:p w14:paraId="5913020F" w14:textId="7E7AB44D" w:rsidR="001833D2" w:rsidRPr="001833D2" w:rsidRDefault="00282C2B" w:rsidP="001833D2">
      <w:pPr>
        <w:ind w:left="360"/>
        <w:jc w:val="both"/>
        <w:rPr>
          <w:rFonts w:ascii="Georgia" w:hAnsi="Georgia" w:cs="Times New Roman"/>
          <w:bCs/>
          <w:sz w:val="28"/>
          <w:szCs w:val="24"/>
        </w:rPr>
      </w:pPr>
      <w:r>
        <w:rPr>
          <w:rFonts w:ascii="Georgia" w:hAnsi="Georgia" w:cs="Times New Roman"/>
          <w:bCs/>
          <w:sz w:val="28"/>
          <w:szCs w:val="24"/>
        </w:rPr>
        <w:t xml:space="preserve">Informē </w:t>
      </w:r>
      <w:r w:rsidR="001833D2" w:rsidRPr="001833D2">
        <w:rPr>
          <w:rFonts w:ascii="Georgia" w:hAnsi="Georgia"/>
          <w:bCs/>
          <w:sz w:val="28"/>
        </w:rPr>
        <w:t>Pēteris Vilks</w:t>
      </w:r>
      <w:r w:rsidR="001833D2">
        <w:rPr>
          <w:rFonts w:ascii="Georgia" w:hAnsi="Georgia"/>
          <w:bCs/>
          <w:sz w:val="28"/>
        </w:rPr>
        <w:t xml:space="preserve"> </w:t>
      </w:r>
      <w:r w:rsidR="001833D2" w:rsidRPr="001833D2">
        <w:rPr>
          <w:rFonts w:ascii="Georgia" w:hAnsi="Georgia"/>
          <w:bCs/>
          <w:sz w:val="28"/>
        </w:rPr>
        <w:t xml:space="preserve">Valsts kancelejas direktora vietnieks, </w:t>
      </w:r>
      <w:r w:rsidR="001833D2">
        <w:rPr>
          <w:rFonts w:ascii="Georgia" w:hAnsi="Georgia"/>
          <w:bCs/>
          <w:sz w:val="28"/>
        </w:rPr>
        <w:t xml:space="preserve"> un </w:t>
      </w:r>
      <w:r w:rsidR="001833D2" w:rsidRPr="001833D2">
        <w:rPr>
          <w:rFonts w:ascii="Georgia" w:hAnsi="Georgia" w:cs="Times New Roman"/>
          <w:bCs/>
          <w:sz w:val="28"/>
          <w:szCs w:val="24"/>
        </w:rPr>
        <w:t>Vladislavs Vesperis</w:t>
      </w:r>
      <w:r w:rsidR="001833D2">
        <w:rPr>
          <w:rFonts w:ascii="Georgia" w:hAnsi="Georgia" w:cs="Times New Roman"/>
          <w:bCs/>
          <w:sz w:val="28"/>
          <w:szCs w:val="24"/>
        </w:rPr>
        <w:t xml:space="preserve"> </w:t>
      </w:r>
      <w:r w:rsidR="001833D2" w:rsidRPr="001833D2">
        <w:rPr>
          <w:rFonts w:ascii="Georgia" w:hAnsi="Georgia" w:cs="Times New Roman"/>
          <w:bCs/>
          <w:sz w:val="28"/>
          <w:szCs w:val="24"/>
        </w:rPr>
        <w:t>Valsts kancelejas Pārresoru koordinācijas departamenta Valsts attīstības nodaļas vadītājs</w:t>
      </w:r>
    </w:p>
    <w:p w14:paraId="1FED9B6A" w14:textId="212513B3" w:rsidR="00794164" w:rsidRPr="00794164" w:rsidRDefault="00601680" w:rsidP="00794164">
      <w:pPr>
        <w:pStyle w:val="ListParagraph"/>
        <w:numPr>
          <w:ilvl w:val="0"/>
          <w:numId w:val="2"/>
        </w:numPr>
        <w:jc w:val="both"/>
        <w:rPr>
          <w:rFonts w:ascii="Georgia" w:hAnsi="Georgia" w:cs="Times New Roman"/>
          <w:bCs/>
          <w:sz w:val="28"/>
          <w:szCs w:val="24"/>
        </w:rPr>
      </w:pPr>
      <w:r>
        <w:rPr>
          <w:rFonts w:ascii="Georgia" w:hAnsi="Georgia" w:cs="Times New Roman"/>
          <w:bCs/>
          <w:sz w:val="28"/>
          <w:szCs w:val="24"/>
        </w:rPr>
        <w:t xml:space="preserve"> </w:t>
      </w:r>
      <w:r w:rsidR="001833D2" w:rsidRPr="001833D2">
        <w:rPr>
          <w:rFonts w:ascii="Georgia" w:hAnsi="Georgia" w:cs="Times New Roman"/>
          <w:bCs/>
          <w:sz w:val="28"/>
          <w:szCs w:val="24"/>
        </w:rPr>
        <w:t>Ziņojums par Sabiedrības integrācijas fonda audita rezultātiem un darba grupas paveikto un secinājumiem</w:t>
      </w:r>
    </w:p>
    <w:p w14:paraId="1CC2F010" w14:textId="6F98BCC4" w:rsidR="001833D2" w:rsidRPr="001833D2" w:rsidRDefault="00794164" w:rsidP="001833D2">
      <w:pPr>
        <w:ind w:left="360"/>
        <w:jc w:val="both"/>
        <w:rPr>
          <w:rFonts w:ascii="Georgia" w:hAnsi="Georgia" w:cs="Times New Roman"/>
          <w:bCs/>
          <w:sz w:val="28"/>
          <w:szCs w:val="28"/>
        </w:rPr>
      </w:pPr>
      <w:r w:rsidRPr="00806C4C">
        <w:rPr>
          <w:rFonts w:ascii="Georgia" w:hAnsi="Georgia" w:cs="Times New Roman"/>
          <w:bCs/>
          <w:sz w:val="28"/>
          <w:szCs w:val="28"/>
        </w:rPr>
        <w:t xml:space="preserve">Informē </w:t>
      </w:r>
      <w:r w:rsidR="001833D2" w:rsidRPr="001833D2">
        <w:rPr>
          <w:rFonts w:ascii="Georgia" w:hAnsi="Georgia"/>
          <w:bCs/>
          <w:sz w:val="28"/>
          <w:szCs w:val="28"/>
        </w:rPr>
        <w:t>Zane Vāgnere</w:t>
      </w:r>
      <w:r w:rsidR="001833D2">
        <w:rPr>
          <w:rFonts w:ascii="Georgia" w:hAnsi="Georgia"/>
          <w:bCs/>
          <w:sz w:val="28"/>
          <w:szCs w:val="28"/>
        </w:rPr>
        <w:t xml:space="preserve"> </w:t>
      </w:r>
      <w:r w:rsidR="001833D2" w:rsidRPr="001833D2">
        <w:rPr>
          <w:rFonts w:ascii="Georgia" w:hAnsi="Georgia" w:cs="Times New Roman"/>
          <w:bCs/>
          <w:sz w:val="28"/>
          <w:szCs w:val="28"/>
        </w:rPr>
        <w:t>Kultūras ministrijas valsts sekretāra vietniece starptautisko lietu, integrācijas un mediju jautājumos </w:t>
      </w:r>
    </w:p>
    <w:p w14:paraId="6CD639F1" w14:textId="747A8436" w:rsidR="00282C2B" w:rsidRPr="00806C4C" w:rsidRDefault="00601680" w:rsidP="00794164">
      <w:pPr>
        <w:pStyle w:val="ListParagraph"/>
        <w:numPr>
          <w:ilvl w:val="0"/>
          <w:numId w:val="2"/>
        </w:numPr>
        <w:jc w:val="both"/>
        <w:rPr>
          <w:rFonts w:ascii="Georgia" w:hAnsi="Georgia" w:cs="Times New Roman"/>
          <w:bCs/>
          <w:sz w:val="28"/>
          <w:szCs w:val="28"/>
        </w:rPr>
      </w:pPr>
      <w:r w:rsidRPr="00806C4C">
        <w:rPr>
          <w:rFonts w:ascii="Georgia" w:hAnsi="Georgia" w:cs="Times New Roman"/>
          <w:bCs/>
          <w:sz w:val="28"/>
          <w:szCs w:val="28"/>
        </w:rPr>
        <w:t xml:space="preserve">Par </w:t>
      </w:r>
      <w:r w:rsidR="001833D2" w:rsidRPr="001833D2">
        <w:rPr>
          <w:rFonts w:ascii="Georgia" w:hAnsi="Georgia" w:cs="Times New Roman"/>
          <w:bCs/>
          <w:sz w:val="28"/>
          <w:szCs w:val="28"/>
        </w:rPr>
        <w:t>Biedrību un nodibinājumu priekšlikumi</w:t>
      </w:r>
      <w:r w:rsidR="001833D2">
        <w:rPr>
          <w:rFonts w:ascii="Georgia" w:hAnsi="Georgia" w:cs="Times New Roman"/>
          <w:bCs/>
          <w:sz w:val="28"/>
          <w:szCs w:val="28"/>
        </w:rPr>
        <w:t>em</w:t>
      </w:r>
      <w:r w:rsidR="001833D2" w:rsidRPr="001833D2">
        <w:rPr>
          <w:rFonts w:ascii="Georgia" w:hAnsi="Georgia" w:cs="Times New Roman"/>
          <w:bCs/>
          <w:sz w:val="28"/>
          <w:szCs w:val="28"/>
        </w:rPr>
        <w:t xml:space="preserve"> vienotu vadlīniju izstrādei valsts budžeta līdzekļu piešķiršanai</w:t>
      </w:r>
      <w:r w:rsidRPr="00806C4C">
        <w:rPr>
          <w:rFonts w:ascii="Georgia" w:hAnsi="Georgia" w:cs="Times New Roman"/>
          <w:bCs/>
          <w:sz w:val="28"/>
          <w:szCs w:val="28"/>
        </w:rPr>
        <w:t xml:space="preserve"> </w:t>
      </w:r>
    </w:p>
    <w:p w14:paraId="3179E076" w14:textId="29CC44D3" w:rsidR="00794164" w:rsidRPr="00806C4C" w:rsidRDefault="00794164" w:rsidP="00794164">
      <w:pPr>
        <w:ind w:left="360"/>
        <w:jc w:val="both"/>
        <w:rPr>
          <w:rFonts w:ascii="Georgia" w:hAnsi="Georgia" w:cs="Times New Roman"/>
          <w:bCs/>
          <w:sz w:val="28"/>
          <w:szCs w:val="28"/>
        </w:rPr>
      </w:pPr>
      <w:r w:rsidRPr="00806C4C">
        <w:rPr>
          <w:rFonts w:ascii="Georgia" w:hAnsi="Georgia" w:cs="Times New Roman"/>
          <w:bCs/>
          <w:sz w:val="28"/>
          <w:szCs w:val="28"/>
        </w:rPr>
        <w:t xml:space="preserve">Informē </w:t>
      </w:r>
      <w:r w:rsidR="00601680" w:rsidRPr="00806C4C">
        <w:rPr>
          <w:rFonts w:ascii="Georgia" w:hAnsi="Georgia" w:cs="Times New Roman"/>
          <w:bCs/>
          <w:sz w:val="28"/>
          <w:szCs w:val="28"/>
        </w:rPr>
        <w:t xml:space="preserve"> Georgs Rubenis Nodibinājuma "Fonds "PLECS"" valdes loceklis, Memoranda padomes vadītāja vietnieks</w:t>
      </w:r>
      <w:r w:rsidR="001833D2">
        <w:rPr>
          <w:rFonts w:ascii="Georgia" w:hAnsi="Georgia" w:cs="Times New Roman"/>
          <w:bCs/>
          <w:sz w:val="28"/>
          <w:szCs w:val="28"/>
        </w:rPr>
        <w:t xml:space="preserve"> un </w:t>
      </w:r>
      <w:r w:rsidR="001833D2" w:rsidRPr="001833D2">
        <w:rPr>
          <w:rFonts w:ascii="Georgia" w:hAnsi="Georgia" w:cs="Times New Roman"/>
          <w:bCs/>
          <w:sz w:val="28"/>
          <w:szCs w:val="28"/>
        </w:rPr>
        <w:t>Elīna Grīnhofa</w:t>
      </w:r>
      <w:r w:rsidR="001833D2" w:rsidRPr="001833D2">
        <w:rPr>
          <w:rFonts w:ascii="Georgia" w:hAnsi="Georgia" w:cs="Times New Roman"/>
          <w:bCs/>
          <w:sz w:val="28"/>
          <w:szCs w:val="28"/>
        </w:rPr>
        <w:br/>
        <w:t>Biedrības "Latvijas Pilsoniskā alianse" interešu pārstāvības vadītāja</w:t>
      </w:r>
      <w:r w:rsidR="001833D2">
        <w:rPr>
          <w:rFonts w:ascii="Georgia" w:hAnsi="Georgia" w:cs="Times New Roman"/>
          <w:bCs/>
          <w:sz w:val="28"/>
          <w:szCs w:val="28"/>
        </w:rPr>
        <w:t>.</w:t>
      </w:r>
    </w:p>
    <w:p w14:paraId="0A71A1F8" w14:textId="77777777" w:rsidR="001833D2" w:rsidRDefault="00794164" w:rsidP="001833D2">
      <w:pPr>
        <w:pStyle w:val="NoSpacing"/>
        <w:ind w:firstLine="720"/>
        <w:jc w:val="both"/>
        <w:rPr>
          <w:rFonts w:ascii="Georgia" w:hAnsi="Georgia"/>
          <w:sz w:val="28"/>
          <w:szCs w:val="28"/>
        </w:rPr>
      </w:pPr>
      <w:r w:rsidRPr="00806C4C">
        <w:rPr>
          <w:rFonts w:ascii="Georgia" w:hAnsi="Georgia"/>
          <w:b/>
          <w:sz w:val="28"/>
          <w:szCs w:val="28"/>
        </w:rPr>
        <w:t>1.</w:t>
      </w:r>
      <w:r w:rsidRPr="00806C4C">
        <w:rPr>
          <w:sz w:val="28"/>
          <w:szCs w:val="28"/>
        </w:rPr>
        <w:t xml:space="preserve"> </w:t>
      </w:r>
      <w:r w:rsidR="001833D2" w:rsidRPr="001833D2">
        <w:rPr>
          <w:rFonts w:ascii="Georgia" w:hAnsi="Georgia"/>
          <w:sz w:val="28"/>
          <w:szCs w:val="28"/>
        </w:rPr>
        <w:t xml:space="preserve">Sēdē tika apspriestas izmaiņas attīstības plānošanas sistēmā. Memoranda padome tika iepazīstināta ar Latvijas ilgtspējīgas attīstības stratēģijas līdz 2050. gadam (Latvija 2050) un Nacionālā attīstības plāna 2028.–2034. gadam (NAP 2034) izstrādes procesu. Latvija 2050 tiek veidota kā ilgtermiņa ceļvedis, kas pārsniedz vēlēšanu ciklus un nosaka valsts pamatvērtības, prioritātes un nākotnes attīstības virzienus, tostarp drošību, paaudžu atjaunotni, izglītību, veselību, tautsaimniecību, publisko pārvaldi, pilsonisko sabiedrību, kultūru un vides ilgtspēju. </w:t>
      </w:r>
    </w:p>
    <w:p w14:paraId="2DBB4B2F" w14:textId="1439DA1F" w:rsidR="001833D2" w:rsidRPr="001833D2" w:rsidRDefault="001833D2" w:rsidP="001833D2">
      <w:pPr>
        <w:pStyle w:val="NoSpacing"/>
        <w:ind w:firstLine="720"/>
        <w:jc w:val="both"/>
        <w:rPr>
          <w:rFonts w:ascii="Georgia" w:hAnsi="Georgia"/>
          <w:sz w:val="28"/>
          <w:szCs w:val="28"/>
        </w:rPr>
      </w:pPr>
      <w:r w:rsidRPr="001833D2">
        <w:rPr>
          <w:rFonts w:ascii="Georgia" w:hAnsi="Georgia"/>
          <w:sz w:val="28"/>
          <w:szCs w:val="28"/>
        </w:rPr>
        <w:t xml:space="preserve">Savukārt NAP2034 iecerēts kā Latvija 2050 praktiskās īstenošanas instruments, nosakot nākamajā plānošanas periodā prioritāri veicamos uzdevumus, reformas, investīciju projektus, sasniedzamos rezultātus un atbildīgās institūcijas, kā arī veidojot pamatu valsts budžeta un Eiropas Savienības fondu ieguldījumiem. Abu dokumentu izstrādē paredzēta valsts pārvaldes, pilsoniskās sabiedrības, akadēmiskā un privātā sektora iesaiste, kam sekos publiskā apspriešana un dokumentu virzīšana apstiprināšanai Saeimā. NVO pārstāvji aicināja procesā plašāk iesaistīt </w:t>
      </w:r>
      <w:r w:rsidRPr="001833D2">
        <w:rPr>
          <w:rFonts w:ascii="Georgia" w:hAnsi="Georgia"/>
          <w:sz w:val="28"/>
          <w:szCs w:val="28"/>
        </w:rPr>
        <w:lastRenderedPageBreak/>
        <w:t>reģionālās organizācijas, tādējādi nodrošinot dažādu un visaptverošu Latvijas reģionu un sabiedrības grupu pārstāvniecību un veidojot Latvija 2050 ne tikai kā plānošanas dokumentu, bet kā kopīgu vienošanos par Latvijas nākotni, kurā sabiedrība saskata arī savu lomu un atbildību. </w:t>
      </w:r>
    </w:p>
    <w:p w14:paraId="05401874" w14:textId="77777777" w:rsidR="001833D2" w:rsidRPr="001833D2" w:rsidRDefault="001833D2" w:rsidP="001833D2">
      <w:pPr>
        <w:pStyle w:val="NoSpacing"/>
        <w:ind w:firstLine="720"/>
        <w:jc w:val="both"/>
        <w:rPr>
          <w:rFonts w:ascii="Georgia" w:hAnsi="Georgia"/>
          <w:sz w:val="28"/>
          <w:szCs w:val="28"/>
        </w:rPr>
      </w:pPr>
      <w:r w:rsidRPr="001833D2">
        <w:rPr>
          <w:rFonts w:ascii="Georgia" w:hAnsi="Georgia"/>
          <w:sz w:val="28"/>
          <w:szCs w:val="28"/>
        </w:rPr>
        <w:t> </w:t>
      </w:r>
    </w:p>
    <w:p w14:paraId="06F6CD78" w14:textId="311D5BA8" w:rsidR="001833D2" w:rsidRPr="001833D2" w:rsidRDefault="001833D2" w:rsidP="001833D2">
      <w:pPr>
        <w:pStyle w:val="NoSpacing"/>
        <w:ind w:firstLine="720"/>
        <w:jc w:val="both"/>
        <w:rPr>
          <w:rFonts w:ascii="Georgia" w:hAnsi="Georgia"/>
          <w:sz w:val="28"/>
          <w:szCs w:val="28"/>
        </w:rPr>
      </w:pPr>
      <w:r w:rsidRPr="001833D2">
        <w:rPr>
          <w:rFonts w:ascii="Georgia" w:hAnsi="Georgia"/>
          <w:b/>
          <w:bCs/>
          <w:sz w:val="32"/>
          <w:szCs w:val="32"/>
        </w:rPr>
        <w:t xml:space="preserve">2. </w:t>
      </w:r>
      <w:r w:rsidRPr="001833D2">
        <w:rPr>
          <w:rFonts w:ascii="Georgia" w:hAnsi="Georgia"/>
          <w:sz w:val="28"/>
          <w:szCs w:val="28"/>
        </w:rPr>
        <w:t>“PricewaterhouseCoopers” (PwC) Latvijas biroja veiktajā auditā secināts, ka SIF ir centralizēta un finansējuma saņēmējiem ērta publiskā finansējuma administrēšanas institūcija. Vienlaikus secināts, ka fonda faktiskā darbība pārsniedz likumā noteikto mandātu – līdztekus finansējuma administrēšanai SIF pats īsteno projektus, kas var radīt lomu konfliktu, savukārt vairākas fonda pārziņā esošās programmas nav skaidri ietvertas SIF likuma tvērumā.</w:t>
      </w:r>
    </w:p>
    <w:p w14:paraId="45353854" w14:textId="77777777" w:rsidR="001833D2" w:rsidRPr="001833D2" w:rsidRDefault="001833D2" w:rsidP="001833D2">
      <w:pPr>
        <w:pStyle w:val="NoSpacing"/>
        <w:ind w:firstLine="720"/>
        <w:jc w:val="both"/>
        <w:rPr>
          <w:rFonts w:ascii="Georgia" w:hAnsi="Georgia"/>
          <w:sz w:val="28"/>
          <w:szCs w:val="28"/>
        </w:rPr>
      </w:pPr>
      <w:r w:rsidRPr="001833D2">
        <w:rPr>
          <w:rFonts w:ascii="Georgia" w:hAnsi="Georgia"/>
          <w:sz w:val="28"/>
          <w:szCs w:val="28"/>
        </w:rPr>
        <w:t>Auditori iesaka pieņemt skaidru lēmumu par SIF turpmāko institucionālo modeli, veikt nepieciešamos grozījumus normatīvajā regulējumā, nošķirt finansējuma administrēšanu no projektu īstenošanas, pilnveidot administratīvo izmaksu un cilvēkresursu uzskaiti, kā arī pārskatīt SIF padomes pilnvaras projektu konkursu rezultātu apstiprināšanā. Pēc audita rezultātu prezentācijas notika diskusija par auditoru izmantoto metodoloģiju, SIF administrēto programmu lietderības izvērtēšanu, fonda zīmola un identitātes turpmāko attīstību, kā arī citiem ar SIF darbības nākotni saistītiem jautājumiem.</w:t>
      </w:r>
    </w:p>
    <w:p w14:paraId="25BED026" w14:textId="77777777" w:rsidR="001833D2" w:rsidRPr="001833D2" w:rsidRDefault="001833D2" w:rsidP="001833D2">
      <w:pPr>
        <w:pStyle w:val="NoSpacing"/>
        <w:ind w:firstLine="720"/>
        <w:jc w:val="both"/>
        <w:rPr>
          <w:rFonts w:ascii="Georgia" w:hAnsi="Georgia"/>
          <w:sz w:val="28"/>
          <w:szCs w:val="28"/>
        </w:rPr>
      </w:pPr>
      <w:r w:rsidRPr="001833D2">
        <w:rPr>
          <w:rFonts w:ascii="Georgia" w:hAnsi="Georgia"/>
          <w:sz w:val="28"/>
          <w:szCs w:val="28"/>
        </w:rPr>
        <w:t> </w:t>
      </w:r>
    </w:p>
    <w:p w14:paraId="4B7C8083" w14:textId="77777777" w:rsidR="001833D2" w:rsidRDefault="001833D2" w:rsidP="001833D2">
      <w:pPr>
        <w:pStyle w:val="NoSpacing"/>
        <w:ind w:firstLine="720"/>
        <w:jc w:val="both"/>
        <w:rPr>
          <w:rFonts w:ascii="Georgia" w:hAnsi="Georgia"/>
          <w:sz w:val="28"/>
          <w:szCs w:val="28"/>
        </w:rPr>
      </w:pPr>
      <w:r w:rsidRPr="001833D2">
        <w:rPr>
          <w:rFonts w:ascii="Georgia" w:hAnsi="Georgia"/>
          <w:b/>
          <w:bCs/>
          <w:sz w:val="32"/>
          <w:szCs w:val="32"/>
        </w:rPr>
        <w:t xml:space="preserve">3. </w:t>
      </w:r>
      <w:r w:rsidRPr="001833D2">
        <w:rPr>
          <w:rFonts w:ascii="Georgia" w:hAnsi="Georgia"/>
          <w:sz w:val="28"/>
          <w:szCs w:val="28"/>
        </w:rPr>
        <w:t xml:space="preserve">Sēdes noslēgumā Latvijas Pilsoniskā alianse (LPA) uzsvēra, ka vienoti, skaidri un caurskatāmi finansējuma piešķiršanas principi ir būtiski, lai nodrošinātu godīgu publisko līdzekļu pārvaldību, mazinātu sadrumstalotību un stiprinātu sabiedrības uzticēšanos gan valsts pārvaldei, gan pilsoniskās sabiedrības organizācijām. </w:t>
      </w:r>
    </w:p>
    <w:p w14:paraId="19335302" w14:textId="77777777" w:rsidR="001833D2" w:rsidRDefault="001833D2" w:rsidP="001833D2">
      <w:pPr>
        <w:pStyle w:val="NoSpacing"/>
        <w:ind w:firstLine="720"/>
        <w:jc w:val="both"/>
        <w:rPr>
          <w:rFonts w:ascii="Georgia" w:hAnsi="Georgia"/>
          <w:sz w:val="28"/>
          <w:szCs w:val="28"/>
        </w:rPr>
      </w:pPr>
      <w:r w:rsidRPr="001833D2">
        <w:rPr>
          <w:rFonts w:ascii="Georgia" w:hAnsi="Georgia"/>
          <w:sz w:val="28"/>
          <w:szCs w:val="28"/>
        </w:rPr>
        <w:t xml:space="preserve">LPA ieskatā vienlaikus ir būtiski nodrošināt arī savlaicīgu un jēgpilnu pilsoniskās sabiedrības iesaisti lēmumu pieņemšanas un finansējuma plānošanas procesos. Vienoti principi palīdzētu nodrošināt skaidru kārtību, kā tiek noteiktas prioritātes, pieņemti lēmumi un izvērtēta piešķirtā finansējuma efektivitāte, vienlaikus radot līdzvērtīgākus un prognozējamākus nosacījumus dažādām organizācijām. </w:t>
      </w:r>
    </w:p>
    <w:p w14:paraId="24440F48" w14:textId="47FEE8BC" w:rsidR="001833D2" w:rsidRDefault="001833D2" w:rsidP="001833D2">
      <w:pPr>
        <w:pStyle w:val="NoSpacing"/>
        <w:ind w:firstLine="720"/>
        <w:jc w:val="both"/>
        <w:rPr>
          <w:rFonts w:ascii="Georgia" w:hAnsi="Georgia"/>
          <w:sz w:val="28"/>
          <w:szCs w:val="28"/>
        </w:rPr>
      </w:pPr>
      <w:r w:rsidRPr="001833D2">
        <w:rPr>
          <w:rFonts w:ascii="Georgia" w:hAnsi="Georgia"/>
          <w:sz w:val="28"/>
          <w:szCs w:val="28"/>
        </w:rPr>
        <w:t>LPA uzsvēra, ka caurskatāma un koordinēta pieeja ir svarīga ne tikai godīgai publisko līdzekļu sadalei, bet arī kvalitatīvākai partnerībai starp valsts pārvaldi un pilsonisko sabiedrību, kā arī sabiedrības uzticēšanās stiprināšanai ilgtermiņā.</w:t>
      </w:r>
    </w:p>
    <w:p w14:paraId="7ACAA03E" w14:textId="77777777" w:rsidR="001833D2" w:rsidRDefault="001833D2" w:rsidP="001833D2">
      <w:pPr>
        <w:pStyle w:val="NoSpacing"/>
        <w:ind w:firstLine="720"/>
        <w:jc w:val="both"/>
        <w:rPr>
          <w:rFonts w:ascii="Georgia" w:hAnsi="Georgia"/>
          <w:sz w:val="28"/>
          <w:szCs w:val="28"/>
        </w:rPr>
      </w:pPr>
    </w:p>
    <w:p w14:paraId="245DDD55" w14:textId="64B98C25" w:rsidR="001833D2" w:rsidRPr="001833D2" w:rsidRDefault="001833D2" w:rsidP="001833D2">
      <w:pPr>
        <w:pStyle w:val="NoSpacing"/>
        <w:ind w:firstLine="720"/>
        <w:jc w:val="both"/>
        <w:rPr>
          <w:rFonts w:ascii="Georgia" w:hAnsi="Georgia"/>
          <w:sz w:val="28"/>
          <w:szCs w:val="28"/>
        </w:rPr>
      </w:pPr>
      <w:r>
        <w:rPr>
          <w:rFonts w:ascii="Georgia" w:hAnsi="Georgia"/>
          <w:sz w:val="28"/>
          <w:szCs w:val="28"/>
        </w:rPr>
        <w:t xml:space="preserve">Pielikumā prezentācijas </w:t>
      </w:r>
    </w:p>
    <w:p w14:paraId="6CC710CF" w14:textId="620B0FF3" w:rsidR="001833D2" w:rsidRDefault="001833D2" w:rsidP="00806C4C">
      <w:pPr>
        <w:pStyle w:val="NoSpacing"/>
        <w:ind w:firstLine="720"/>
        <w:jc w:val="both"/>
        <w:rPr>
          <w:rFonts w:ascii="Georgia" w:hAnsi="Georgia"/>
          <w:sz w:val="28"/>
          <w:szCs w:val="28"/>
        </w:rPr>
      </w:pPr>
    </w:p>
    <w:p w14:paraId="503EB5D2" w14:textId="77777777" w:rsidR="001833D2" w:rsidRDefault="001833D2">
      <w:pPr>
        <w:rPr>
          <w:rFonts w:ascii="Georgia" w:hAnsi="Georgia"/>
          <w:sz w:val="28"/>
          <w:szCs w:val="28"/>
        </w:rPr>
      </w:pPr>
      <w:r>
        <w:rPr>
          <w:rFonts w:ascii="Georgia" w:hAnsi="Georgia"/>
          <w:sz w:val="28"/>
          <w:szCs w:val="28"/>
        </w:rPr>
        <w:br w:type="page"/>
      </w:r>
    </w:p>
    <w:sectPr w:rsidR="001833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D8B2" w14:textId="77777777" w:rsidR="007C0871" w:rsidRDefault="007C0871" w:rsidP="00544C3C">
      <w:pPr>
        <w:spacing w:after="0" w:line="240" w:lineRule="auto"/>
      </w:pPr>
      <w:r>
        <w:separator/>
      </w:r>
    </w:p>
  </w:endnote>
  <w:endnote w:type="continuationSeparator" w:id="0">
    <w:p w14:paraId="25013597" w14:textId="77777777" w:rsidR="007C0871" w:rsidRDefault="007C0871" w:rsidP="0054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E836" w14:textId="77777777" w:rsidR="007C0871" w:rsidRDefault="007C0871" w:rsidP="00544C3C">
      <w:pPr>
        <w:spacing w:after="0" w:line="240" w:lineRule="auto"/>
      </w:pPr>
      <w:r>
        <w:separator/>
      </w:r>
    </w:p>
  </w:footnote>
  <w:footnote w:type="continuationSeparator" w:id="0">
    <w:p w14:paraId="4D306684" w14:textId="77777777" w:rsidR="007C0871" w:rsidRDefault="007C0871" w:rsidP="00544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6FF"/>
    <w:multiLevelType w:val="multilevel"/>
    <w:tmpl w:val="199A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60143"/>
    <w:multiLevelType w:val="hybridMultilevel"/>
    <w:tmpl w:val="392A583A"/>
    <w:lvl w:ilvl="0" w:tplc="2E221A4E">
      <w:numFmt w:val="bullet"/>
      <w:lvlText w:val="•"/>
      <w:lvlJc w:val="left"/>
      <w:pPr>
        <w:ind w:left="1080" w:hanging="360"/>
      </w:pPr>
      <w:rPr>
        <w:rFonts w:ascii="Georgia" w:eastAsiaTheme="minorHAnsi" w:hAnsi="Georgi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AE41093"/>
    <w:multiLevelType w:val="multilevel"/>
    <w:tmpl w:val="1EF0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143B0"/>
    <w:multiLevelType w:val="hybridMultilevel"/>
    <w:tmpl w:val="403ED9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F41154"/>
    <w:multiLevelType w:val="hybridMultilevel"/>
    <w:tmpl w:val="A7C6E9C8"/>
    <w:lvl w:ilvl="0" w:tplc="F4A298C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BB309D"/>
    <w:multiLevelType w:val="hybridMultilevel"/>
    <w:tmpl w:val="D1EE3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53FF5"/>
    <w:multiLevelType w:val="hybridMultilevel"/>
    <w:tmpl w:val="DC7AD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C423A4"/>
    <w:multiLevelType w:val="hybridMultilevel"/>
    <w:tmpl w:val="E5C2D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480696"/>
    <w:multiLevelType w:val="hybridMultilevel"/>
    <w:tmpl w:val="6CC089A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7F3547"/>
    <w:multiLevelType w:val="hybridMultilevel"/>
    <w:tmpl w:val="DC7AD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BD5EA3"/>
    <w:multiLevelType w:val="hybridMultilevel"/>
    <w:tmpl w:val="9FD8D244"/>
    <w:lvl w:ilvl="0" w:tplc="2E221A4E">
      <w:numFmt w:val="bullet"/>
      <w:lvlText w:val="•"/>
      <w:lvlJc w:val="left"/>
      <w:pPr>
        <w:ind w:left="1080" w:hanging="360"/>
      </w:pPr>
      <w:rPr>
        <w:rFonts w:ascii="Georgia" w:eastAsiaTheme="minorHAnsi" w:hAnsi="Georgi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6F37C48"/>
    <w:multiLevelType w:val="hybridMultilevel"/>
    <w:tmpl w:val="DC7AD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F83014"/>
    <w:multiLevelType w:val="hybridMultilevel"/>
    <w:tmpl w:val="54C22A66"/>
    <w:lvl w:ilvl="0" w:tplc="2E221A4E">
      <w:numFmt w:val="bullet"/>
      <w:lvlText w:val="•"/>
      <w:lvlJc w:val="left"/>
      <w:pPr>
        <w:ind w:left="720" w:hanging="360"/>
      </w:pPr>
      <w:rPr>
        <w:rFonts w:ascii="Georgia" w:eastAsiaTheme="minorHAnsi" w:hAnsi="Georgi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DF42EE"/>
    <w:multiLevelType w:val="hybridMultilevel"/>
    <w:tmpl w:val="DC7AD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224CC2"/>
    <w:multiLevelType w:val="hybridMultilevel"/>
    <w:tmpl w:val="968ABA8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D577A0"/>
    <w:multiLevelType w:val="hybridMultilevel"/>
    <w:tmpl w:val="DC7ADB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6B7D9C"/>
    <w:multiLevelType w:val="hybridMultilevel"/>
    <w:tmpl w:val="1C9CEF00"/>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F33FA7"/>
    <w:multiLevelType w:val="hybridMultilevel"/>
    <w:tmpl w:val="DC7AD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FF2C82"/>
    <w:multiLevelType w:val="hybridMultilevel"/>
    <w:tmpl w:val="6082EB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653DE0"/>
    <w:multiLevelType w:val="hybridMultilevel"/>
    <w:tmpl w:val="B3A8A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A858F0"/>
    <w:multiLevelType w:val="hybridMultilevel"/>
    <w:tmpl w:val="6BC862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5CC78D9"/>
    <w:multiLevelType w:val="hybridMultilevel"/>
    <w:tmpl w:val="C346F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F71D36"/>
    <w:multiLevelType w:val="multilevel"/>
    <w:tmpl w:val="9ED4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17983"/>
    <w:multiLevelType w:val="hybridMultilevel"/>
    <w:tmpl w:val="679C4ACA"/>
    <w:lvl w:ilvl="0" w:tplc="EAC08D7C">
      <w:numFmt w:val="bullet"/>
      <w:lvlText w:val="-"/>
      <w:lvlJc w:val="left"/>
      <w:pPr>
        <w:ind w:left="720" w:hanging="360"/>
      </w:pPr>
      <w:rPr>
        <w:rFonts w:ascii="Georgia" w:eastAsiaTheme="minorHAnsi" w:hAnsi="Georg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41B4B4F"/>
    <w:multiLevelType w:val="hybridMultilevel"/>
    <w:tmpl w:val="9E522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8A662C"/>
    <w:multiLevelType w:val="hybridMultilevel"/>
    <w:tmpl w:val="F21476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EF61E6"/>
    <w:multiLevelType w:val="hybridMultilevel"/>
    <w:tmpl w:val="224C0E8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B0521CC"/>
    <w:multiLevelType w:val="hybridMultilevel"/>
    <w:tmpl w:val="682E2C9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FFD38B5"/>
    <w:multiLevelType w:val="hybridMultilevel"/>
    <w:tmpl w:val="E5741CC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A71703"/>
    <w:multiLevelType w:val="hybridMultilevel"/>
    <w:tmpl w:val="E6D4DFA8"/>
    <w:lvl w:ilvl="0" w:tplc="CCDEDCA2">
      <w:numFmt w:val="bullet"/>
      <w:lvlText w:val="-"/>
      <w:lvlJc w:val="left"/>
      <w:pPr>
        <w:ind w:left="720" w:hanging="360"/>
      </w:pPr>
      <w:rPr>
        <w:rFonts w:ascii="Georgia" w:eastAsiaTheme="minorHAnsi" w:hAnsi="Georg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A06092"/>
    <w:multiLevelType w:val="hybridMultilevel"/>
    <w:tmpl w:val="766EC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BD2EFE"/>
    <w:multiLevelType w:val="hybridMultilevel"/>
    <w:tmpl w:val="163C6ABE"/>
    <w:lvl w:ilvl="0" w:tplc="2E221A4E">
      <w:numFmt w:val="bullet"/>
      <w:lvlText w:val="•"/>
      <w:lvlJc w:val="left"/>
      <w:pPr>
        <w:ind w:left="1080" w:hanging="360"/>
      </w:pPr>
      <w:rPr>
        <w:rFonts w:ascii="Georgia" w:eastAsiaTheme="minorHAnsi" w:hAnsi="Georgi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7296557"/>
    <w:multiLevelType w:val="hybridMultilevel"/>
    <w:tmpl w:val="61C2E8DC"/>
    <w:lvl w:ilvl="0" w:tplc="2E221A4E">
      <w:numFmt w:val="bullet"/>
      <w:lvlText w:val="•"/>
      <w:lvlJc w:val="left"/>
      <w:pPr>
        <w:ind w:left="720" w:hanging="360"/>
      </w:pPr>
      <w:rPr>
        <w:rFonts w:ascii="Georgia" w:eastAsiaTheme="minorHAnsi" w:hAnsi="Georgi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96E6645"/>
    <w:multiLevelType w:val="hybridMultilevel"/>
    <w:tmpl w:val="89F02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3D3A80"/>
    <w:multiLevelType w:val="hybridMultilevel"/>
    <w:tmpl w:val="DC7AD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417A6C"/>
    <w:multiLevelType w:val="hybridMultilevel"/>
    <w:tmpl w:val="9C8C5684"/>
    <w:lvl w:ilvl="0" w:tplc="0FDCD902">
      <w:numFmt w:val="bullet"/>
      <w:lvlText w:val="•"/>
      <w:lvlJc w:val="left"/>
      <w:pPr>
        <w:ind w:left="720" w:hanging="360"/>
      </w:pPr>
      <w:rPr>
        <w:rFonts w:ascii="Georgia" w:eastAsiaTheme="minorHAnsi" w:hAnsi="Georg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F5720F1"/>
    <w:multiLevelType w:val="hybridMultilevel"/>
    <w:tmpl w:val="1A2661E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4F94625"/>
    <w:multiLevelType w:val="hybridMultilevel"/>
    <w:tmpl w:val="88A242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5F34DD2"/>
    <w:multiLevelType w:val="hybridMultilevel"/>
    <w:tmpl w:val="63D69F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D04C27"/>
    <w:multiLevelType w:val="hybridMultilevel"/>
    <w:tmpl w:val="8D4619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130F60"/>
    <w:multiLevelType w:val="hybridMultilevel"/>
    <w:tmpl w:val="15642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D4D428D"/>
    <w:multiLevelType w:val="hybridMultilevel"/>
    <w:tmpl w:val="C0E8F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A43511"/>
    <w:multiLevelType w:val="hybridMultilevel"/>
    <w:tmpl w:val="3692C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60984919">
    <w:abstractNumId w:val="19"/>
  </w:num>
  <w:num w:numId="2" w16cid:durableId="2144304906">
    <w:abstractNumId w:val="15"/>
  </w:num>
  <w:num w:numId="3" w16cid:durableId="9724067">
    <w:abstractNumId w:val="34"/>
  </w:num>
  <w:num w:numId="4" w16cid:durableId="382563558">
    <w:abstractNumId w:val="25"/>
  </w:num>
  <w:num w:numId="5" w16cid:durableId="1602251883">
    <w:abstractNumId w:val="13"/>
  </w:num>
  <w:num w:numId="6" w16cid:durableId="410322235">
    <w:abstractNumId w:val="24"/>
  </w:num>
  <w:num w:numId="7" w16cid:durableId="1404646916">
    <w:abstractNumId w:val="23"/>
  </w:num>
  <w:num w:numId="8" w16cid:durableId="50076159">
    <w:abstractNumId w:val="36"/>
  </w:num>
  <w:num w:numId="9" w16cid:durableId="363868689">
    <w:abstractNumId w:val="40"/>
  </w:num>
  <w:num w:numId="10" w16cid:durableId="1674411129">
    <w:abstractNumId w:val="35"/>
  </w:num>
  <w:num w:numId="11" w16cid:durableId="1371031427">
    <w:abstractNumId w:val="8"/>
  </w:num>
  <w:num w:numId="12" w16cid:durableId="1634752393">
    <w:abstractNumId w:val="41"/>
  </w:num>
  <w:num w:numId="13" w16cid:durableId="1341280020">
    <w:abstractNumId w:val="29"/>
  </w:num>
  <w:num w:numId="14" w16cid:durableId="1293708332">
    <w:abstractNumId w:val="27"/>
  </w:num>
  <w:num w:numId="15" w16cid:durableId="1008286457">
    <w:abstractNumId w:val="7"/>
  </w:num>
  <w:num w:numId="16" w16cid:durableId="1749646071">
    <w:abstractNumId w:val="3"/>
  </w:num>
  <w:num w:numId="17" w16cid:durableId="1697659575">
    <w:abstractNumId w:val="30"/>
  </w:num>
  <w:num w:numId="18" w16cid:durableId="2116902207">
    <w:abstractNumId w:val="28"/>
  </w:num>
  <w:num w:numId="19" w16cid:durableId="99225468">
    <w:abstractNumId w:val="16"/>
  </w:num>
  <w:num w:numId="20" w16cid:durableId="444157462">
    <w:abstractNumId w:val="5"/>
  </w:num>
  <w:num w:numId="21" w16cid:durableId="846486394">
    <w:abstractNumId w:val="17"/>
  </w:num>
  <w:num w:numId="22" w16cid:durableId="842210690">
    <w:abstractNumId w:val="11"/>
  </w:num>
  <w:num w:numId="23" w16cid:durableId="32923695">
    <w:abstractNumId w:val="21"/>
  </w:num>
  <w:num w:numId="24" w16cid:durableId="2109963008">
    <w:abstractNumId w:val="39"/>
  </w:num>
  <w:num w:numId="25" w16cid:durableId="421608615">
    <w:abstractNumId w:val="9"/>
  </w:num>
  <w:num w:numId="26" w16cid:durableId="1958755250">
    <w:abstractNumId w:val="14"/>
  </w:num>
  <w:num w:numId="27" w16cid:durableId="1957592562">
    <w:abstractNumId w:val="38"/>
  </w:num>
  <w:num w:numId="28" w16cid:durableId="669212699">
    <w:abstractNumId w:val="18"/>
  </w:num>
  <w:num w:numId="29" w16cid:durableId="371149966">
    <w:abstractNumId w:val="32"/>
  </w:num>
  <w:num w:numId="30" w16cid:durableId="1583025064">
    <w:abstractNumId w:val="31"/>
  </w:num>
  <w:num w:numId="31" w16cid:durableId="1640069475">
    <w:abstractNumId w:val="12"/>
  </w:num>
  <w:num w:numId="32" w16cid:durableId="274868612">
    <w:abstractNumId w:val="4"/>
  </w:num>
  <w:num w:numId="33" w16cid:durableId="1843810179">
    <w:abstractNumId w:val="10"/>
  </w:num>
  <w:num w:numId="34" w16cid:durableId="726953754">
    <w:abstractNumId w:val="1"/>
  </w:num>
  <w:num w:numId="35" w16cid:durableId="1307737549">
    <w:abstractNumId w:val="33"/>
  </w:num>
  <w:num w:numId="36" w16cid:durableId="1710184399">
    <w:abstractNumId w:val="37"/>
  </w:num>
  <w:num w:numId="37" w16cid:durableId="168525327">
    <w:abstractNumId w:val="26"/>
  </w:num>
  <w:num w:numId="38" w16cid:durableId="756290223">
    <w:abstractNumId w:val="42"/>
  </w:num>
  <w:num w:numId="39" w16cid:durableId="1843081798">
    <w:abstractNumId w:val="6"/>
  </w:num>
  <w:num w:numId="40" w16cid:durableId="1764766604">
    <w:abstractNumId w:val="2"/>
  </w:num>
  <w:num w:numId="41" w16cid:durableId="1556507054">
    <w:abstractNumId w:val="22"/>
  </w:num>
  <w:num w:numId="42" w16cid:durableId="1411923488">
    <w:abstractNumId w:val="0"/>
  </w:num>
  <w:num w:numId="43" w16cid:durableId="14791547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00A"/>
    <w:rsid w:val="000061A4"/>
    <w:rsid w:val="00021F8E"/>
    <w:rsid w:val="00023BF2"/>
    <w:rsid w:val="00024014"/>
    <w:rsid w:val="0003497A"/>
    <w:rsid w:val="000C0BE0"/>
    <w:rsid w:val="000D4F4E"/>
    <w:rsid w:val="001073A8"/>
    <w:rsid w:val="0012238F"/>
    <w:rsid w:val="00133D71"/>
    <w:rsid w:val="00173B6A"/>
    <w:rsid w:val="001833D2"/>
    <w:rsid w:val="00282C2B"/>
    <w:rsid w:val="002F2255"/>
    <w:rsid w:val="002F7305"/>
    <w:rsid w:val="002F7687"/>
    <w:rsid w:val="0030501B"/>
    <w:rsid w:val="0034256A"/>
    <w:rsid w:val="003735DE"/>
    <w:rsid w:val="003E600A"/>
    <w:rsid w:val="00421145"/>
    <w:rsid w:val="004452A4"/>
    <w:rsid w:val="00480427"/>
    <w:rsid w:val="004A3172"/>
    <w:rsid w:val="004E392E"/>
    <w:rsid w:val="005054F2"/>
    <w:rsid w:val="00544C3C"/>
    <w:rsid w:val="00551673"/>
    <w:rsid w:val="0055389F"/>
    <w:rsid w:val="005610FC"/>
    <w:rsid w:val="00572E06"/>
    <w:rsid w:val="00580B3D"/>
    <w:rsid w:val="00597344"/>
    <w:rsid w:val="005A7B82"/>
    <w:rsid w:val="005C55F0"/>
    <w:rsid w:val="005C7333"/>
    <w:rsid w:val="005E582F"/>
    <w:rsid w:val="00601680"/>
    <w:rsid w:val="00670153"/>
    <w:rsid w:val="006C03DE"/>
    <w:rsid w:val="006D5DD1"/>
    <w:rsid w:val="006E57CB"/>
    <w:rsid w:val="00741C9B"/>
    <w:rsid w:val="00782074"/>
    <w:rsid w:val="0079400A"/>
    <w:rsid w:val="00794164"/>
    <w:rsid w:val="007A30EB"/>
    <w:rsid w:val="007C0871"/>
    <w:rsid w:val="00806C4C"/>
    <w:rsid w:val="00831AB2"/>
    <w:rsid w:val="008452EA"/>
    <w:rsid w:val="008954AB"/>
    <w:rsid w:val="008E43CD"/>
    <w:rsid w:val="00953EAB"/>
    <w:rsid w:val="009729A3"/>
    <w:rsid w:val="0098408C"/>
    <w:rsid w:val="00987CA4"/>
    <w:rsid w:val="009E79BC"/>
    <w:rsid w:val="00A37A7E"/>
    <w:rsid w:val="00A63DA9"/>
    <w:rsid w:val="00A8177E"/>
    <w:rsid w:val="00AC3857"/>
    <w:rsid w:val="00B51CB1"/>
    <w:rsid w:val="00B64663"/>
    <w:rsid w:val="00B70C85"/>
    <w:rsid w:val="00B83F1C"/>
    <w:rsid w:val="00BC6E40"/>
    <w:rsid w:val="00BF05D7"/>
    <w:rsid w:val="00BF2B55"/>
    <w:rsid w:val="00C73E30"/>
    <w:rsid w:val="00CC5AC5"/>
    <w:rsid w:val="00CD1DC3"/>
    <w:rsid w:val="00CD79B7"/>
    <w:rsid w:val="00CE3F62"/>
    <w:rsid w:val="00D076E8"/>
    <w:rsid w:val="00D72C2F"/>
    <w:rsid w:val="00D933BC"/>
    <w:rsid w:val="00DA2524"/>
    <w:rsid w:val="00DB37F3"/>
    <w:rsid w:val="00DE23E3"/>
    <w:rsid w:val="00E47E02"/>
    <w:rsid w:val="00E511EA"/>
    <w:rsid w:val="00E93097"/>
    <w:rsid w:val="00EA3A2A"/>
    <w:rsid w:val="00EC0468"/>
    <w:rsid w:val="00ED2C5B"/>
    <w:rsid w:val="00ED5C51"/>
    <w:rsid w:val="00EE244C"/>
    <w:rsid w:val="00EF03C6"/>
    <w:rsid w:val="00F075C2"/>
    <w:rsid w:val="00F07601"/>
    <w:rsid w:val="00F10A81"/>
    <w:rsid w:val="00F304FB"/>
    <w:rsid w:val="00F72224"/>
    <w:rsid w:val="00F81458"/>
    <w:rsid w:val="00FD2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5CF94"/>
  <w15:chartTrackingRefBased/>
  <w15:docId w15:val="{0E6C5EC1-D1D6-4CE5-9519-9AAAA646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4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40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40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40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4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0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40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40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40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40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4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00A"/>
    <w:rPr>
      <w:rFonts w:eastAsiaTheme="majorEastAsia" w:cstheme="majorBidi"/>
      <w:color w:val="272727" w:themeColor="text1" w:themeTint="D8"/>
    </w:rPr>
  </w:style>
  <w:style w:type="paragraph" w:styleId="Title">
    <w:name w:val="Title"/>
    <w:basedOn w:val="Normal"/>
    <w:next w:val="Normal"/>
    <w:link w:val="TitleChar"/>
    <w:uiPriority w:val="10"/>
    <w:qFormat/>
    <w:rsid w:val="00794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00A"/>
    <w:pPr>
      <w:spacing w:before="160"/>
      <w:jc w:val="center"/>
    </w:pPr>
    <w:rPr>
      <w:i/>
      <w:iCs/>
      <w:color w:val="404040" w:themeColor="text1" w:themeTint="BF"/>
    </w:rPr>
  </w:style>
  <w:style w:type="character" w:customStyle="1" w:styleId="QuoteChar">
    <w:name w:val="Quote Char"/>
    <w:basedOn w:val="DefaultParagraphFont"/>
    <w:link w:val="Quote"/>
    <w:uiPriority w:val="29"/>
    <w:rsid w:val="0079400A"/>
    <w:rPr>
      <w:i/>
      <w:iCs/>
      <w:color w:val="404040" w:themeColor="text1" w:themeTint="BF"/>
    </w:rPr>
  </w:style>
  <w:style w:type="paragraph" w:styleId="ListParagraph">
    <w:name w:val="List Paragraph"/>
    <w:aliases w:val="2,H&amp;P List Paragraph,List Paragraph1,Strip,Saraksta rindkopa1,Normal bullet 2,Bullet list,Colorful List - Accent 12,Bullet 1,Bullet Points,Colorful List - Accent 11,Dot pt,F5 List Paragraph,Indicator Text,Citation List,Numbered Para 1"/>
    <w:basedOn w:val="Normal"/>
    <w:uiPriority w:val="34"/>
    <w:qFormat/>
    <w:rsid w:val="0079400A"/>
    <w:pPr>
      <w:ind w:left="720"/>
      <w:contextualSpacing/>
    </w:pPr>
  </w:style>
  <w:style w:type="character" w:styleId="IntenseEmphasis">
    <w:name w:val="Intense Emphasis"/>
    <w:basedOn w:val="DefaultParagraphFont"/>
    <w:uiPriority w:val="21"/>
    <w:qFormat/>
    <w:rsid w:val="0079400A"/>
    <w:rPr>
      <w:i/>
      <w:iCs/>
      <w:color w:val="2F5496" w:themeColor="accent1" w:themeShade="BF"/>
    </w:rPr>
  </w:style>
  <w:style w:type="paragraph" w:styleId="IntenseQuote">
    <w:name w:val="Intense Quote"/>
    <w:basedOn w:val="Normal"/>
    <w:next w:val="Normal"/>
    <w:link w:val="IntenseQuoteChar"/>
    <w:uiPriority w:val="30"/>
    <w:qFormat/>
    <w:rsid w:val="00794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400A"/>
    <w:rPr>
      <w:i/>
      <w:iCs/>
      <w:color w:val="2F5496" w:themeColor="accent1" w:themeShade="BF"/>
    </w:rPr>
  </w:style>
  <w:style w:type="character" w:styleId="IntenseReference">
    <w:name w:val="Intense Reference"/>
    <w:basedOn w:val="DefaultParagraphFont"/>
    <w:uiPriority w:val="32"/>
    <w:qFormat/>
    <w:rsid w:val="0079400A"/>
    <w:rPr>
      <w:b/>
      <w:bCs/>
      <w:smallCaps/>
      <w:color w:val="2F5496" w:themeColor="accent1" w:themeShade="BF"/>
      <w:spacing w:val="5"/>
    </w:rPr>
  </w:style>
  <w:style w:type="character" w:styleId="Hyperlink">
    <w:name w:val="Hyperlink"/>
    <w:basedOn w:val="DefaultParagraphFont"/>
    <w:uiPriority w:val="99"/>
    <w:unhideWhenUsed/>
    <w:rsid w:val="00C73E30"/>
    <w:rPr>
      <w:color w:val="0563C1" w:themeColor="hyperlink"/>
      <w:u w:val="single"/>
    </w:rPr>
  </w:style>
  <w:style w:type="character" w:styleId="UnresolvedMention">
    <w:name w:val="Unresolved Mention"/>
    <w:basedOn w:val="DefaultParagraphFont"/>
    <w:uiPriority w:val="99"/>
    <w:semiHidden/>
    <w:unhideWhenUsed/>
    <w:rsid w:val="00C73E30"/>
    <w:rPr>
      <w:color w:val="605E5C"/>
      <w:shd w:val="clear" w:color="auto" w:fill="E1DFDD"/>
    </w:rPr>
  </w:style>
  <w:style w:type="paragraph" w:styleId="FootnoteText">
    <w:name w:val="footnote text"/>
    <w:basedOn w:val="Normal"/>
    <w:link w:val="FootnoteTextChar"/>
    <w:rsid w:val="00544C3C"/>
    <w:pPr>
      <w:suppressAutoHyphens/>
      <w:autoSpaceDN w:val="0"/>
      <w:spacing w:after="0" w:line="240" w:lineRule="auto"/>
      <w:textAlignment w:val="baseline"/>
    </w:pPr>
    <w:rPr>
      <w:rFonts w:ascii="Times New Roman" w:eastAsia="Calibri" w:hAnsi="Times New Roman" w:cs="Times New Roman"/>
      <w:kern w:val="0"/>
      <w:sz w:val="20"/>
      <w:szCs w:val="20"/>
      <w14:ligatures w14:val="none"/>
    </w:rPr>
  </w:style>
  <w:style w:type="character" w:customStyle="1" w:styleId="FootnoteTextChar">
    <w:name w:val="Footnote Text Char"/>
    <w:basedOn w:val="DefaultParagraphFont"/>
    <w:link w:val="FootnoteText"/>
    <w:rsid w:val="00544C3C"/>
    <w:rPr>
      <w:rFonts w:ascii="Times New Roman" w:eastAsia="Calibri" w:hAnsi="Times New Roman" w:cs="Times New Roman"/>
      <w:kern w:val="0"/>
      <w:sz w:val="20"/>
      <w:szCs w:val="20"/>
      <w14:ligatures w14:val="none"/>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uiPriority w:val="99"/>
    <w:rsid w:val="00544C3C"/>
    <w:rPr>
      <w:position w:val="0"/>
      <w:vertAlign w:val="superscript"/>
    </w:rPr>
  </w:style>
  <w:style w:type="paragraph" w:customStyle="1" w:styleId="Default">
    <w:name w:val="Default"/>
    <w:rsid w:val="00A37A7E"/>
    <w:pPr>
      <w:autoSpaceDE w:val="0"/>
      <w:autoSpaceDN w:val="0"/>
      <w:adjustRightInd w:val="0"/>
      <w:spacing w:after="0" w:line="240" w:lineRule="auto"/>
    </w:pPr>
    <w:rPr>
      <w:rFonts w:ascii="Verdana" w:hAnsi="Verdana" w:cs="Verdana"/>
      <w:color w:val="000000"/>
      <w:kern w:val="0"/>
      <w:sz w:val="24"/>
      <w:szCs w:val="24"/>
    </w:rPr>
  </w:style>
  <w:style w:type="paragraph" w:styleId="NoSpacing">
    <w:name w:val="No Spacing"/>
    <w:uiPriority w:val="1"/>
    <w:qFormat/>
    <w:rsid w:val="00CD79B7"/>
    <w:pPr>
      <w:spacing w:after="0" w:line="240" w:lineRule="auto"/>
    </w:pPr>
  </w:style>
  <w:style w:type="table" w:styleId="TableGrid">
    <w:name w:val="Table Grid"/>
    <w:basedOn w:val="TableNormal"/>
    <w:uiPriority w:val="39"/>
    <w:rsid w:val="00EC0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3D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158717">
      <w:bodyDiv w:val="1"/>
      <w:marLeft w:val="0"/>
      <w:marRight w:val="0"/>
      <w:marTop w:val="0"/>
      <w:marBottom w:val="0"/>
      <w:divBdr>
        <w:top w:val="none" w:sz="0" w:space="0" w:color="auto"/>
        <w:left w:val="none" w:sz="0" w:space="0" w:color="auto"/>
        <w:bottom w:val="none" w:sz="0" w:space="0" w:color="auto"/>
        <w:right w:val="none" w:sz="0" w:space="0" w:color="auto"/>
      </w:divBdr>
    </w:div>
    <w:div w:id="1019502331">
      <w:bodyDiv w:val="1"/>
      <w:marLeft w:val="0"/>
      <w:marRight w:val="0"/>
      <w:marTop w:val="0"/>
      <w:marBottom w:val="0"/>
      <w:divBdr>
        <w:top w:val="none" w:sz="0" w:space="0" w:color="auto"/>
        <w:left w:val="none" w:sz="0" w:space="0" w:color="auto"/>
        <w:bottom w:val="none" w:sz="0" w:space="0" w:color="auto"/>
        <w:right w:val="none" w:sz="0" w:space="0" w:color="auto"/>
      </w:divBdr>
    </w:div>
    <w:div w:id="1533961616">
      <w:bodyDiv w:val="1"/>
      <w:marLeft w:val="0"/>
      <w:marRight w:val="0"/>
      <w:marTop w:val="0"/>
      <w:marBottom w:val="0"/>
      <w:divBdr>
        <w:top w:val="none" w:sz="0" w:space="0" w:color="auto"/>
        <w:left w:val="none" w:sz="0" w:space="0" w:color="auto"/>
        <w:bottom w:val="none" w:sz="0" w:space="0" w:color="auto"/>
        <w:right w:val="none" w:sz="0" w:space="0" w:color="auto"/>
      </w:divBdr>
    </w:div>
    <w:div w:id="21295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8960D-8F8A-41FB-9073-99D51DFFD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2898</Words>
  <Characters>1652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Buts pasniedzējs</dc:creator>
  <cp:keywords/>
  <dc:description/>
  <cp:lastModifiedBy>Barba Girgensone</cp:lastModifiedBy>
  <cp:revision>3</cp:revision>
  <dcterms:created xsi:type="dcterms:W3CDTF">2026-08-29T13:15:00Z</dcterms:created>
  <dcterms:modified xsi:type="dcterms:W3CDTF">2026-08-29T13:22:00Z</dcterms:modified>
</cp:coreProperties>
</file>