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CFB2" w14:textId="77777777" w:rsidR="001C6FBA" w:rsidRPr="00AE4838" w:rsidRDefault="004B4559" w:rsidP="00102658">
      <w:pPr>
        <w:pStyle w:val="NoSpacing"/>
        <w:jc w:val="center"/>
        <w:rPr>
          <w:lang w:val="lv-LV"/>
        </w:rPr>
      </w:pPr>
      <w:r w:rsidRPr="00AE4838">
        <w:rPr>
          <w:lang w:val="lv-LV"/>
        </w:rPr>
        <w:t>Rīgā</w:t>
      </w:r>
    </w:p>
    <w:p w14:paraId="23E9B695" w14:textId="77777777" w:rsidR="001C6FBA" w:rsidRPr="00AE4838" w:rsidRDefault="001C6FBA" w:rsidP="00102658">
      <w:pPr>
        <w:pStyle w:val="NoSpacing"/>
        <w:rPr>
          <w:lang w:val="lv-LV"/>
        </w:rPr>
      </w:pPr>
    </w:p>
    <w:tbl>
      <w:tblPr>
        <w:tblW w:w="0" w:type="auto"/>
        <w:tblLayout w:type="fixed"/>
        <w:tblLook w:val="04A0" w:firstRow="1" w:lastRow="0" w:firstColumn="1" w:lastColumn="0" w:noHBand="0" w:noVBand="1"/>
      </w:tblPr>
      <w:tblGrid>
        <w:gridCol w:w="567"/>
        <w:gridCol w:w="1843"/>
        <w:gridCol w:w="709"/>
        <w:gridCol w:w="2693"/>
      </w:tblGrid>
      <w:tr w:rsidR="000063B5" w14:paraId="10113C15" w14:textId="77777777" w:rsidTr="00072B59">
        <w:tc>
          <w:tcPr>
            <w:tcW w:w="567" w:type="dxa"/>
          </w:tcPr>
          <w:p w14:paraId="580E4094" w14:textId="77777777" w:rsidR="00F340ED" w:rsidRPr="00F340ED" w:rsidRDefault="00F340ED" w:rsidP="00102658">
            <w:pPr>
              <w:pStyle w:val="NoSpacing"/>
            </w:pPr>
          </w:p>
        </w:tc>
        <w:tc>
          <w:tcPr>
            <w:tcW w:w="1843" w:type="dxa"/>
            <w:tcBorders>
              <w:bottom w:val="single" w:sz="4" w:space="0" w:color="auto"/>
            </w:tcBorders>
          </w:tcPr>
          <w:p w14:paraId="35D04E6D" w14:textId="77777777" w:rsidR="00F340ED" w:rsidRPr="00F340ED" w:rsidRDefault="004B4559" w:rsidP="00102658">
            <w:pPr>
              <w:pStyle w:val="NoSpacing"/>
            </w:pPr>
            <w:r w:rsidRPr="00F340ED">
              <w:t>09.01.2026.</w:t>
            </w:r>
          </w:p>
        </w:tc>
        <w:tc>
          <w:tcPr>
            <w:tcW w:w="709" w:type="dxa"/>
          </w:tcPr>
          <w:p w14:paraId="135D6B37" w14:textId="77777777" w:rsidR="00F340ED" w:rsidRPr="00F340ED" w:rsidRDefault="004B4559" w:rsidP="00102658">
            <w:pPr>
              <w:pStyle w:val="NoSpacing"/>
            </w:pPr>
            <w:r w:rsidRPr="00F340ED">
              <w:t>Nr.</w:t>
            </w:r>
          </w:p>
        </w:tc>
        <w:tc>
          <w:tcPr>
            <w:tcW w:w="2693" w:type="dxa"/>
            <w:tcBorders>
              <w:bottom w:val="single" w:sz="4" w:space="0" w:color="auto"/>
            </w:tcBorders>
          </w:tcPr>
          <w:p w14:paraId="01E6D8A1" w14:textId="77777777" w:rsidR="00F340ED" w:rsidRPr="00F340ED" w:rsidRDefault="004B4559" w:rsidP="00102658">
            <w:pPr>
              <w:pStyle w:val="NoSpacing"/>
            </w:pPr>
            <w:r w:rsidRPr="00F340ED">
              <w:t>21-13/43</w:t>
            </w:r>
          </w:p>
        </w:tc>
      </w:tr>
      <w:tr w:rsidR="000063B5" w14:paraId="4C0759ED" w14:textId="77777777" w:rsidTr="00072B59">
        <w:tc>
          <w:tcPr>
            <w:tcW w:w="567" w:type="dxa"/>
          </w:tcPr>
          <w:p w14:paraId="003AAFD3" w14:textId="77777777" w:rsidR="00F340ED" w:rsidRPr="00F340ED" w:rsidRDefault="004B4559" w:rsidP="00102658">
            <w:pPr>
              <w:pStyle w:val="NoSpacing"/>
            </w:pPr>
            <w:r w:rsidRPr="00F340ED">
              <w:t>Uz</w:t>
            </w:r>
          </w:p>
        </w:tc>
        <w:tc>
          <w:tcPr>
            <w:tcW w:w="1843" w:type="dxa"/>
            <w:tcBorders>
              <w:top w:val="single" w:sz="4" w:space="0" w:color="auto"/>
              <w:bottom w:val="single" w:sz="4" w:space="0" w:color="auto"/>
            </w:tcBorders>
          </w:tcPr>
          <w:p w14:paraId="6677F2FD" w14:textId="77777777" w:rsidR="00F340ED" w:rsidRPr="00F340ED" w:rsidRDefault="00F340ED" w:rsidP="00102658">
            <w:pPr>
              <w:pStyle w:val="NoSpacing"/>
            </w:pPr>
          </w:p>
        </w:tc>
        <w:tc>
          <w:tcPr>
            <w:tcW w:w="709" w:type="dxa"/>
          </w:tcPr>
          <w:p w14:paraId="22B1BCBD" w14:textId="77777777" w:rsidR="00F340ED" w:rsidRPr="00F340ED" w:rsidRDefault="004B4559" w:rsidP="00102658">
            <w:pPr>
              <w:pStyle w:val="NoSpacing"/>
            </w:pPr>
            <w:r w:rsidRPr="00F340ED">
              <w:t>Nr.</w:t>
            </w:r>
          </w:p>
        </w:tc>
        <w:tc>
          <w:tcPr>
            <w:tcW w:w="2693" w:type="dxa"/>
            <w:tcBorders>
              <w:top w:val="single" w:sz="4" w:space="0" w:color="auto"/>
              <w:bottom w:val="single" w:sz="4" w:space="0" w:color="auto"/>
            </w:tcBorders>
          </w:tcPr>
          <w:p w14:paraId="17A264F2" w14:textId="77777777" w:rsidR="00F340ED" w:rsidRPr="00F340ED" w:rsidRDefault="00F340ED" w:rsidP="00102658">
            <w:pPr>
              <w:pStyle w:val="NoSpacing"/>
            </w:pPr>
          </w:p>
        </w:tc>
      </w:tr>
    </w:tbl>
    <w:p w14:paraId="5111B3E9" w14:textId="77777777" w:rsidR="005C7576" w:rsidRDefault="005C7576" w:rsidP="00102658">
      <w:pPr>
        <w:pStyle w:val="NoSpacing"/>
        <w:rPr>
          <w:lang w:val="lv-LV"/>
        </w:rPr>
      </w:pPr>
    </w:p>
    <w:tbl>
      <w:tblPr>
        <w:tblW w:w="5358" w:type="dxa"/>
        <w:tblInd w:w="3964" w:type="dxa"/>
        <w:tblLook w:val="04A0" w:firstRow="1" w:lastRow="0" w:firstColumn="1" w:lastColumn="0" w:noHBand="0" w:noVBand="1"/>
      </w:tblPr>
      <w:tblGrid>
        <w:gridCol w:w="5358"/>
      </w:tblGrid>
      <w:tr w:rsidR="000063B5" w14:paraId="2E67B318" w14:textId="77777777" w:rsidTr="005C7576">
        <w:tc>
          <w:tcPr>
            <w:tcW w:w="5358" w:type="dxa"/>
            <w:hideMark/>
          </w:tcPr>
          <w:p w14:paraId="2F2FD12E" w14:textId="77777777" w:rsidR="00E35574" w:rsidRPr="00E35574" w:rsidRDefault="004B4559" w:rsidP="00E35574">
            <w:pPr>
              <w:widowControl/>
              <w:spacing w:after="0" w:line="240" w:lineRule="auto"/>
              <w:jc w:val="right"/>
              <w:rPr>
                <w:rFonts w:eastAsia="Times New Roman"/>
                <w:b/>
                <w:i w:val="0"/>
                <w:sz w:val="28"/>
                <w:szCs w:val="28"/>
                <w:lang w:val="lv-LV"/>
              </w:rPr>
            </w:pPr>
            <w:r w:rsidRPr="00E35574">
              <w:rPr>
                <w:rFonts w:eastAsia="Times New Roman"/>
                <w:b/>
                <w:i w:val="0"/>
                <w:sz w:val="28"/>
                <w:szCs w:val="28"/>
                <w:lang w:val="lv-LV"/>
              </w:rPr>
              <w:t>Pēc pievienotā saraksta</w:t>
            </w:r>
          </w:p>
          <w:p w14:paraId="58789BE4" w14:textId="77777777" w:rsidR="00E35574" w:rsidRDefault="004B4559" w:rsidP="00102658">
            <w:pPr>
              <w:pStyle w:val="NoSpacing"/>
              <w:jc w:val="right"/>
            </w:pPr>
            <w:r w:rsidRPr="00E35574">
              <w:rPr>
                <w:lang w:val="lv-LV"/>
              </w:rPr>
              <w:t>paziņošanai e-adresē</w:t>
            </w:r>
          </w:p>
          <w:p w14:paraId="26014CED" w14:textId="77777777" w:rsidR="00C97C45" w:rsidRDefault="00C97C45" w:rsidP="00102658">
            <w:pPr>
              <w:pStyle w:val="NoSpacing"/>
              <w:jc w:val="right"/>
              <w:rPr>
                <w:b/>
                <w:bCs/>
                <w:lang w:val="lv-LV"/>
              </w:rPr>
            </w:pPr>
          </w:p>
          <w:p w14:paraId="1AF0E46F" w14:textId="77777777" w:rsidR="00E35574" w:rsidRPr="00E35574" w:rsidRDefault="004B4559" w:rsidP="00102658">
            <w:pPr>
              <w:pStyle w:val="NoSpacing"/>
              <w:jc w:val="right"/>
              <w:rPr>
                <w:b/>
                <w:bCs/>
              </w:rPr>
            </w:pPr>
            <w:r w:rsidRPr="00E35574">
              <w:rPr>
                <w:b/>
                <w:bCs/>
                <w:lang w:val="lv-LV"/>
              </w:rPr>
              <w:t>Informācijai</w:t>
            </w:r>
            <w:r w:rsidRPr="00E35574">
              <w:rPr>
                <w:b/>
                <w:bCs/>
              </w:rPr>
              <w:t>:</w:t>
            </w:r>
          </w:p>
          <w:p w14:paraId="267842FA" w14:textId="77777777" w:rsidR="00E35574" w:rsidRDefault="00E35574" w:rsidP="00102658">
            <w:pPr>
              <w:pStyle w:val="NoSpacing"/>
              <w:jc w:val="right"/>
            </w:pPr>
          </w:p>
          <w:p w14:paraId="6EAE43B0" w14:textId="77777777" w:rsidR="005C7576" w:rsidRDefault="004B4559" w:rsidP="00102658">
            <w:pPr>
              <w:pStyle w:val="NoSpacing"/>
              <w:jc w:val="right"/>
              <w:rPr>
                <w:lang w:val="lv-LV"/>
              </w:rPr>
            </w:pPr>
            <w:r w:rsidRPr="00E35574">
              <w:rPr>
                <w:lang w:val="lv-LV"/>
              </w:rPr>
              <w:t>Biedrība</w:t>
            </w:r>
            <w:r w:rsidR="00E35574" w:rsidRPr="00E35574">
              <w:rPr>
                <w:lang w:val="lv-LV"/>
              </w:rPr>
              <w:t>i</w:t>
            </w:r>
            <w:r w:rsidRPr="00E35574">
              <w:rPr>
                <w:lang w:val="lv-LV"/>
              </w:rPr>
              <w:t xml:space="preserve"> </w:t>
            </w:r>
            <w:r w:rsidR="0032743F">
              <w:rPr>
                <w:lang w:val="lv-LV"/>
              </w:rPr>
              <w:t>“</w:t>
            </w:r>
            <w:r w:rsidRPr="00E35574">
              <w:rPr>
                <w:lang w:val="lv-LV"/>
              </w:rPr>
              <w:t>Latvijas Pašvaldību savienība</w:t>
            </w:r>
            <w:r w:rsidR="0032743F">
              <w:rPr>
                <w:lang w:val="lv-LV"/>
              </w:rPr>
              <w:t>”</w:t>
            </w:r>
            <w:r w:rsidRPr="00E35574">
              <w:rPr>
                <w:lang w:val="lv-LV"/>
              </w:rPr>
              <w:br/>
              <w:t>paziņošanai e-adresē</w:t>
            </w:r>
            <w:r>
              <w:br/>
            </w:r>
            <w:r>
              <w:br/>
            </w:r>
            <w:r w:rsidRPr="00C97C45">
              <w:rPr>
                <w:lang w:val="lv-LV"/>
              </w:rPr>
              <w:t>Sabiedrības integrācijas fond</w:t>
            </w:r>
            <w:r w:rsidR="00E35574" w:rsidRPr="00C97C45">
              <w:rPr>
                <w:lang w:val="lv-LV"/>
              </w:rPr>
              <w:t>am</w:t>
            </w:r>
            <w:r w:rsidRPr="00C97C45">
              <w:rPr>
                <w:lang w:val="lv-LV"/>
              </w:rPr>
              <w:br/>
              <w:t>paziņošanai e-adresē</w:t>
            </w:r>
          </w:p>
        </w:tc>
      </w:tr>
    </w:tbl>
    <w:p w14:paraId="5B4E78CF" w14:textId="77777777" w:rsidR="005C7576" w:rsidRDefault="005C7576" w:rsidP="00102658">
      <w:pPr>
        <w:pStyle w:val="NoSpacing"/>
        <w:rPr>
          <w:lang w:val="lv-LV"/>
        </w:rPr>
      </w:pPr>
    </w:p>
    <w:tbl>
      <w:tblPr>
        <w:tblW w:w="0" w:type="auto"/>
        <w:tblCellMar>
          <w:left w:w="40" w:type="dxa"/>
          <w:right w:w="40" w:type="dxa"/>
        </w:tblCellMar>
        <w:tblLook w:val="04A0" w:firstRow="1" w:lastRow="0" w:firstColumn="1" w:lastColumn="0" w:noHBand="0" w:noVBand="1"/>
      </w:tblPr>
      <w:tblGrid>
        <w:gridCol w:w="4200"/>
      </w:tblGrid>
      <w:tr w:rsidR="000063B5" w14:paraId="24216E3F" w14:textId="77777777" w:rsidTr="00E64D67">
        <w:tc>
          <w:tcPr>
            <w:tcW w:w="4200" w:type="dxa"/>
          </w:tcPr>
          <w:p w14:paraId="6C7D75E9" w14:textId="77777777" w:rsidR="007F393E" w:rsidRPr="00E35574" w:rsidRDefault="004B4559" w:rsidP="00102658">
            <w:pPr>
              <w:pStyle w:val="NoSpacing"/>
              <w:rPr>
                <w:i/>
                <w:iCs/>
                <w:lang w:val="lv-LV"/>
              </w:rPr>
            </w:pPr>
            <w:r w:rsidRPr="00E35574">
              <w:rPr>
                <w:i/>
                <w:iCs/>
                <w:lang w:val="lv-LV"/>
              </w:rPr>
              <w:t>Par atbalstu senioru skolām</w:t>
            </w:r>
          </w:p>
        </w:tc>
      </w:tr>
    </w:tbl>
    <w:p w14:paraId="318F3171" w14:textId="77777777" w:rsidR="00102658" w:rsidRDefault="004B4559" w:rsidP="00102658">
      <w:pPr>
        <w:pStyle w:val="NoSpacing"/>
        <w:rPr>
          <w:lang w:val="lv-LV"/>
        </w:rPr>
      </w:pPr>
      <w:r>
        <w:rPr>
          <w:lang w:val="lv-LV"/>
        </w:rPr>
        <w:tab/>
      </w:r>
    </w:p>
    <w:p w14:paraId="5D688BA0" w14:textId="77777777" w:rsidR="00133C6F" w:rsidRPr="00133C6F" w:rsidRDefault="004B4559" w:rsidP="00133C6F">
      <w:pPr>
        <w:widowControl/>
        <w:spacing w:before="120" w:after="120"/>
        <w:ind w:firstLine="709"/>
        <w:jc w:val="both"/>
        <w:rPr>
          <w:rFonts w:eastAsia="Times New Roman"/>
          <w:i w:val="0"/>
          <w:sz w:val="28"/>
          <w:szCs w:val="28"/>
          <w:lang w:val="lv-LV"/>
        </w:rPr>
      </w:pPr>
      <w:r w:rsidRPr="00133C6F">
        <w:rPr>
          <w:rFonts w:eastAsia="Times New Roman"/>
          <w:i w:val="0"/>
          <w:sz w:val="28"/>
          <w:szCs w:val="28"/>
          <w:lang w:val="lv-LV"/>
        </w:rPr>
        <w:t xml:space="preserve">Labklājības ministrija ir pateicīga par pašvaldību līdzšinējo atbalstu gados vecākiem iedzīvotājiem – senioriem, kas izpaudies daudzveidīgās iniciatīvās un bijis būtisks atspaids gados vecāku iedzīvotāju ikdienas vajadzību nodrošināšanā un sociālās labklājības stiprināšanā. </w:t>
      </w:r>
    </w:p>
    <w:p w14:paraId="0EC14F39" w14:textId="77777777" w:rsidR="00133C6F" w:rsidRPr="00133C6F" w:rsidRDefault="004B4559" w:rsidP="00133C6F">
      <w:pPr>
        <w:widowControl/>
        <w:spacing w:before="120" w:after="120"/>
        <w:ind w:firstLine="709"/>
        <w:jc w:val="both"/>
        <w:rPr>
          <w:rFonts w:eastAsia="Times New Roman"/>
          <w:i w:val="0"/>
          <w:sz w:val="28"/>
          <w:szCs w:val="28"/>
          <w:lang w:val="lv-LV"/>
        </w:rPr>
      </w:pPr>
      <w:r w:rsidRPr="00133C6F">
        <w:rPr>
          <w:rFonts w:eastAsia="Times New Roman"/>
          <w:i w:val="0"/>
          <w:sz w:val="28"/>
          <w:szCs w:val="28"/>
          <w:lang w:val="lv-LV"/>
        </w:rPr>
        <w:t>Ņemot vērā pašvaldību nozīmīgo ieguldījumu un to ciešo saikni ar vietējām kopienām, uzskatām, ka tieši pašvaldības ir būtisks partneris arī jaunu risinājumu ieviešanā. Jaunu atbalsta pasākumu nepieciešamību nosaka tādas aktuālās tendences kā sabiedrības novecošanās, pieaugot senioru īpatsvaram iedzīvotāju kopskaitā, kas, savukārt, pieprasa valstij un pašvaldībām attīstīt mērķtiecīgus risinājumus, kas veicina gados vecāku iedzīvotāju sociālo iesaisti, mūžizglītību un aktīvu līdzdalību sabiedrībā, tādējādi stiprinot gan viņu labklājību, gan sabiedrības saliedētību kopumā.</w:t>
      </w:r>
    </w:p>
    <w:p w14:paraId="2908E5DF" w14:textId="77777777" w:rsidR="00133C6F" w:rsidRPr="00133C6F" w:rsidRDefault="004B4559" w:rsidP="00133C6F">
      <w:pPr>
        <w:widowControl/>
        <w:spacing w:before="120" w:after="120"/>
        <w:ind w:firstLine="709"/>
        <w:jc w:val="both"/>
        <w:rPr>
          <w:rFonts w:eastAsia="Times New Roman"/>
          <w:i w:val="0"/>
          <w:sz w:val="28"/>
          <w:szCs w:val="28"/>
          <w:lang w:val="lv-LV"/>
        </w:rPr>
      </w:pPr>
      <w:r w:rsidRPr="00133C6F">
        <w:rPr>
          <w:rFonts w:eastAsia="Times New Roman"/>
          <w:i w:val="0"/>
          <w:sz w:val="28"/>
          <w:szCs w:val="28"/>
          <w:lang w:val="lv-LV"/>
        </w:rPr>
        <w:t xml:space="preserve">Vēlamies informēt, ka, ņemot vērā sabiedrības novecošanās izaicinājumus,  kā vienu no risinājumiem saredzam iespēju attīstīt senioru skolas Latvijā, kas sniegtu iespēju senioriem pilnveidot prasmes, iegūt jaunas zināšanas un stiprināt sociālos </w:t>
      </w:r>
      <w:r w:rsidRPr="00133C6F">
        <w:rPr>
          <w:rFonts w:eastAsia="Times New Roman"/>
          <w:i w:val="0"/>
          <w:sz w:val="28"/>
          <w:szCs w:val="28"/>
          <w:lang w:val="lv-LV"/>
        </w:rPr>
        <w:lastRenderedPageBreak/>
        <w:t xml:space="preserve">kontaktus. </w:t>
      </w:r>
      <w:bookmarkStart w:id="0" w:name="_Hlk218844798"/>
      <w:r w:rsidRPr="00133C6F">
        <w:rPr>
          <w:rFonts w:eastAsia="Times New Roman"/>
          <w:i w:val="0"/>
          <w:sz w:val="28"/>
          <w:szCs w:val="28"/>
          <w:lang w:val="lv-LV"/>
        </w:rPr>
        <w:t>Senioru skolas jeb starptautiski plašāk zinām</w:t>
      </w:r>
      <w:r w:rsidR="0032743F">
        <w:rPr>
          <w:rFonts w:eastAsia="Times New Roman"/>
          <w:i w:val="0"/>
          <w:sz w:val="28"/>
          <w:szCs w:val="28"/>
          <w:lang w:val="lv-LV"/>
        </w:rPr>
        <w:t>a</w:t>
      </w:r>
      <w:r w:rsidRPr="00133C6F">
        <w:rPr>
          <w:rFonts w:eastAsia="Times New Roman"/>
          <w:i w:val="0"/>
          <w:sz w:val="28"/>
          <w:szCs w:val="28"/>
          <w:lang w:val="lv-LV"/>
        </w:rPr>
        <w:t>s kā Trešās paaudzes universitātes ir pasaulē pazīstamas jau vairāk nekā 50 gadus un ir sevi pierādījušas kā efektīvs instruments gados vecāku iedzīvotāju sociālās iesaistes, mūžizglītības un aktīvas līdzdalības veicināšanā</w:t>
      </w:r>
      <w:bookmarkEnd w:id="0"/>
      <w:r w:rsidRPr="00133C6F">
        <w:rPr>
          <w:rFonts w:eastAsia="Times New Roman"/>
          <w:i w:val="0"/>
          <w:sz w:val="28"/>
          <w:szCs w:val="28"/>
          <w:lang w:val="lv-LV"/>
        </w:rPr>
        <w:t>. Kā liecina starptautiskā pieredze un jau vairāku Latvijā darbojošos senioru skolu prakse, tās nodrošina mērķtiecīgas un regulāras mācīšanās iespējas, sekmē veselīgāku dzīvesveidu un sniedz iespēju senioriem saglabāt saikni ar sabiedrību, tostarp daļēji iesaistoties arī darba tirgū.</w:t>
      </w:r>
    </w:p>
    <w:p w14:paraId="55675D46" w14:textId="77777777" w:rsidR="00133C6F" w:rsidRPr="00133C6F" w:rsidRDefault="004B4559" w:rsidP="00133C6F">
      <w:pPr>
        <w:widowControl/>
        <w:spacing w:before="120" w:after="120"/>
        <w:ind w:firstLine="709"/>
        <w:jc w:val="both"/>
        <w:rPr>
          <w:rFonts w:eastAsia="Times New Roman"/>
          <w:i w:val="0"/>
          <w:sz w:val="28"/>
          <w:szCs w:val="28"/>
          <w:lang w:val="lv-LV"/>
        </w:rPr>
      </w:pPr>
      <w:r w:rsidRPr="00133C6F">
        <w:rPr>
          <w:rFonts w:eastAsia="Times New Roman"/>
          <w:i w:val="0"/>
          <w:sz w:val="28"/>
          <w:szCs w:val="28"/>
          <w:lang w:val="lv-LV"/>
        </w:rPr>
        <w:t>Informējam, ka iedvesmojoties no senioru intereses pārstāvošo organizāciju, kas īsteno senioru skolu aktivitātes Latvijā, pieredzes, Labklājības ministrija ir iniciējusi jaunu atbalsta programmu senioru skolu atbalstam, kura savu darbību uzsāks 2026. gada otrajā ceturksnī.</w:t>
      </w:r>
      <w:r>
        <w:rPr>
          <w:rFonts w:eastAsia="Times New Roman"/>
          <w:i w:val="0"/>
          <w:sz w:val="28"/>
          <w:szCs w:val="28"/>
          <w:vertAlign w:val="superscript"/>
          <w:lang w:val="lv-LV"/>
        </w:rPr>
        <w:footnoteReference w:id="1"/>
      </w:r>
      <w:r w:rsidRPr="00133C6F">
        <w:rPr>
          <w:rFonts w:eastAsia="Times New Roman"/>
          <w:i w:val="0"/>
          <w:sz w:val="28"/>
          <w:szCs w:val="28"/>
          <w:lang w:val="lv-LV"/>
        </w:rPr>
        <w:t xml:space="preserve"> Senioru skolu programma darbosies kā pilotprojekts, to īstenos Labklājības ministrijas sadarbības partneris – Sabiedrības integrācijas fonds, nodrošinot mērķētu atbalstu nevalstiskajam sektoram senioru skolu izveidei un darbībai. Pilotprojekta ietvaros plānots atbalstīt 25 biedrību un nodibinājumu organizētu senioru skolu darbību, piedāvājot personām vecumā no 65 gadiem iespējas pilnveidot digitālo, veselības un finanšu pratību, stiprināt sociālo līdzdalību, iesaistīties radošās un kultūras aktivitātēs, veicināt aktīvu dzīvesveidu, mūžizglītību un intelektuālo attīstību, kā arī apgūt prasmes, kas nepieciešamas, lai iekļautos darba tirgū. Dalībai pilotprojektā varēs pieteikties biedrības un nodibinājumi, kuru statūtos noteikts darbs ar senioriem un kuriem ir pieredze šīs mērķa grupas izglītošanā vai skaidra attīstības stratēģija turpmākajiem diviem gadiem. Senioru skolām būs jānodrošina neformālās izglītības mācības vismaz 100 dalībniekiem, un viena projekta finansējums nepārsniegs 45 000 </w:t>
      </w:r>
      <w:r w:rsidRPr="00133C6F">
        <w:rPr>
          <w:rFonts w:eastAsia="Times New Roman"/>
          <w:iCs/>
          <w:sz w:val="28"/>
          <w:szCs w:val="28"/>
          <w:lang w:val="lv-LV"/>
        </w:rPr>
        <w:t>euro</w:t>
      </w:r>
      <w:r w:rsidRPr="00133C6F">
        <w:rPr>
          <w:rFonts w:eastAsia="Times New Roman"/>
          <w:i w:val="0"/>
          <w:sz w:val="28"/>
          <w:szCs w:val="28"/>
          <w:lang w:val="lv-LV"/>
        </w:rPr>
        <w:t xml:space="preserve">, sedzot projekta vadības, īstenošanas un pedagogu atlīdzības izmaksas. Projektu pieteikumos būs jānorāda pieejamās telpas senioru skolas darbībai, un katrā plānošanas reģionā plānots apstiprināt līdz pieciem projektiem. Detalizētāka informācija par biedrību un nodibinājumu pieteikšanos dalībai pilotprojektā sekos no Sabiedrības integrācijas fonda puses, tāpat Sabiedrības integrācijas fonds nodrošinās informatīvu un konsultatīvu atbalstu projektu pieteicējiem. Sagaidāms, ka plašāka informācija no Sabiedrības integrācijas fonda sekos šā gada pavasarī. </w:t>
      </w:r>
    </w:p>
    <w:p w14:paraId="79722848" w14:textId="77777777" w:rsidR="00133C6F" w:rsidRPr="00133C6F" w:rsidRDefault="004B4559" w:rsidP="00133C6F">
      <w:pPr>
        <w:widowControl/>
        <w:spacing w:before="120" w:after="120"/>
        <w:ind w:firstLine="709"/>
        <w:jc w:val="both"/>
        <w:rPr>
          <w:rFonts w:eastAsia="Times New Roman"/>
          <w:i w:val="0"/>
          <w:sz w:val="28"/>
          <w:szCs w:val="28"/>
          <w:lang w:val="lv-LV"/>
        </w:rPr>
      </w:pPr>
      <w:r w:rsidRPr="00133C6F">
        <w:rPr>
          <w:rFonts w:eastAsia="Times New Roman"/>
          <w:i w:val="0"/>
          <w:sz w:val="28"/>
          <w:szCs w:val="28"/>
          <w:lang w:val="lv-LV"/>
        </w:rPr>
        <w:t xml:space="preserve">Uzskatām, ka pašvaldību iesaiste ir būtisks faktors, lai nodrošinātu senioru skolu ilgtspējīgu darbību un kvalitatīvu mācību procesu, īpaši piemērotu un pieejamu telpu nodrošināšanā. Telpas ir viens no galvenajiem priekšnoteikumiem, lai senioru skolas varētu darboties regulāri, droši un atbilstoši mācību dalībnieku </w:t>
      </w:r>
      <w:r w:rsidRPr="00133C6F">
        <w:rPr>
          <w:rFonts w:eastAsia="Times New Roman"/>
          <w:i w:val="0"/>
          <w:sz w:val="28"/>
          <w:szCs w:val="28"/>
          <w:lang w:val="lv-LV"/>
        </w:rPr>
        <w:lastRenderedPageBreak/>
        <w:t>vajadzībām. Pašvaldību atbalsts šajā jomā ir ļoti svarīgs – gan nodrošinot telpas bez maksas, gan iespēju robežās palīdzot pielāgot esošo infrastruktūru senioru vajadzībām. Tāpat tieši pašvaldības var būt nozīmīgs sadarbības partneris senioru skolām, sniedzot organizatorisku atbalstu, palīdzot ar starpinstitucionālu un praktisku jautājumu risināšanu vietējā līmenī, veicinot sadarbību ar nevalstiskajām organizācijām. Vienlaikus pašvaldības var veicināt senioru iesaisti, izmantojot savus komunikācijas kanālus un pašvaldību organizētos vietējos pasākumus, kā arī stiprināt senioru skolu iniciatīvas ilgtspēju, iekļaujot senioru skolas pašvaldības plānošanas un attīstības dokumentos.</w:t>
      </w:r>
    </w:p>
    <w:p w14:paraId="2B805AE7" w14:textId="77777777" w:rsidR="00133C6F" w:rsidRPr="00133C6F" w:rsidRDefault="004B4559" w:rsidP="00133C6F">
      <w:pPr>
        <w:widowControl/>
        <w:spacing w:before="120" w:after="120"/>
        <w:ind w:firstLine="709"/>
        <w:jc w:val="both"/>
        <w:rPr>
          <w:rFonts w:eastAsia="Times New Roman"/>
          <w:i w:val="0"/>
          <w:sz w:val="28"/>
          <w:szCs w:val="28"/>
          <w:lang w:val="lv-LV"/>
        </w:rPr>
      </w:pPr>
      <w:r w:rsidRPr="00133C6F">
        <w:rPr>
          <w:rFonts w:eastAsia="Times New Roman"/>
          <w:i w:val="0"/>
          <w:sz w:val="28"/>
          <w:szCs w:val="28"/>
          <w:lang w:val="lv-LV"/>
        </w:rPr>
        <w:t>Ņemot vērā iepriekš minēto, aicinām pašvaldības sniegt atbalstu senioru skolām, nodrošinot tām pieejamu vidi (telpas) to darbībai, kā arī iespēju robežās sniegt citu nepieciešamo organizatorisko atbalstu, lai sekmētu senioru labklājību un sociālo iekļaušanu, veicinātu vietējās sabiedrības attīstību kopumā.</w:t>
      </w:r>
    </w:p>
    <w:p w14:paraId="762C166C" w14:textId="77777777" w:rsidR="00133C6F" w:rsidRPr="00133C6F" w:rsidRDefault="004B4559" w:rsidP="00133C6F">
      <w:pPr>
        <w:widowControl/>
        <w:spacing w:before="120" w:after="120"/>
        <w:ind w:firstLine="709"/>
        <w:jc w:val="both"/>
        <w:rPr>
          <w:rFonts w:eastAsia="Times New Roman"/>
          <w:i w:val="0"/>
          <w:sz w:val="28"/>
          <w:szCs w:val="28"/>
          <w:lang w:val="lv-LV"/>
        </w:rPr>
      </w:pPr>
      <w:r w:rsidRPr="00133C6F">
        <w:rPr>
          <w:rFonts w:eastAsia="Times New Roman"/>
          <w:i w:val="0"/>
          <w:sz w:val="28"/>
          <w:szCs w:val="28"/>
          <w:lang w:val="lv-LV"/>
        </w:rPr>
        <w:t>Pateicamies par līdzšinējo sadarbību un aicinām turpināt kopīgi veidot senioriem draudzīgu un atbalstošu vidi visā Latvijā.</w:t>
      </w:r>
    </w:p>
    <w:p w14:paraId="14652A84" w14:textId="77777777" w:rsidR="00133C6F" w:rsidRPr="00133C6F" w:rsidRDefault="00133C6F" w:rsidP="00133C6F">
      <w:pPr>
        <w:widowControl/>
        <w:spacing w:after="0" w:line="240" w:lineRule="auto"/>
        <w:jc w:val="left"/>
        <w:rPr>
          <w:rFonts w:eastAsia="Times New Roman"/>
          <w:i w:val="0"/>
          <w:sz w:val="28"/>
          <w:szCs w:val="28"/>
          <w:lang w:val="lv-LV"/>
        </w:rPr>
      </w:pPr>
    </w:p>
    <w:p w14:paraId="081CD868" w14:textId="77777777" w:rsidR="005C7576" w:rsidRDefault="005C7576" w:rsidP="00102658">
      <w:pPr>
        <w:pStyle w:val="NoSpacing"/>
        <w:rPr>
          <w:lang w:val="lv-LV"/>
        </w:rPr>
      </w:pPr>
    </w:p>
    <w:p w14:paraId="55A6C813" w14:textId="77777777" w:rsidR="005C7576" w:rsidRDefault="005C7576" w:rsidP="00102658">
      <w:pPr>
        <w:pStyle w:val="NoSpacing"/>
        <w:rPr>
          <w:lang w:val="lv-LV"/>
        </w:rPr>
      </w:pPr>
    </w:p>
    <w:tbl>
      <w:tblPr>
        <w:tblW w:w="0" w:type="auto"/>
        <w:tblLook w:val="04A0" w:firstRow="1" w:lastRow="0" w:firstColumn="1" w:lastColumn="0" w:noHBand="0" w:noVBand="1"/>
      </w:tblPr>
      <w:tblGrid>
        <w:gridCol w:w="3297"/>
        <w:gridCol w:w="6025"/>
      </w:tblGrid>
      <w:tr w:rsidR="000063B5" w14:paraId="56F11457" w14:textId="77777777" w:rsidTr="005C7576">
        <w:tc>
          <w:tcPr>
            <w:tcW w:w="3297" w:type="dxa"/>
            <w:hideMark/>
          </w:tcPr>
          <w:p w14:paraId="7A5666E0" w14:textId="77777777" w:rsidR="005C7576" w:rsidRDefault="004B4559" w:rsidP="00102658">
            <w:pPr>
              <w:pStyle w:val="NoSpacing"/>
              <w:rPr>
                <w:lang w:val="lv-LV"/>
              </w:rPr>
            </w:pPr>
            <w:r>
              <w:rPr>
                <w:lang w:val="lv-LV"/>
              </w:rPr>
              <w:t>Ministrs</w:t>
            </w:r>
          </w:p>
        </w:tc>
        <w:tc>
          <w:tcPr>
            <w:tcW w:w="6025" w:type="dxa"/>
            <w:hideMark/>
          </w:tcPr>
          <w:p w14:paraId="5FB5A7BE" w14:textId="77777777" w:rsidR="005C7576" w:rsidRDefault="004B4559" w:rsidP="00102658">
            <w:pPr>
              <w:pStyle w:val="NoSpacing"/>
              <w:jc w:val="right"/>
              <w:rPr>
                <w:lang w:val="lv-LV"/>
              </w:rPr>
            </w:pPr>
            <w:r>
              <w:rPr>
                <w:lang w:val="lv-LV"/>
              </w:rPr>
              <w:t>R.Uzulnieks</w:t>
            </w:r>
          </w:p>
        </w:tc>
      </w:tr>
    </w:tbl>
    <w:p w14:paraId="79A63228" w14:textId="77777777" w:rsidR="005C7576" w:rsidRDefault="005C7576" w:rsidP="00102658">
      <w:pPr>
        <w:pStyle w:val="NoSpacing"/>
        <w:rPr>
          <w:lang w:val="lv-LV"/>
        </w:rPr>
      </w:pPr>
    </w:p>
    <w:p w14:paraId="77DF1F97" w14:textId="77777777" w:rsidR="005C7576" w:rsidRDefault="005C7576" w:rsidP="00102658">
      <w:pPr>
        <w:pStyle w:val="NoSpacing"/>
        <w:rPr>
          <w:lang w:val="lv-LV"/>
        </w:rPr>
      </w:pPr>
    </w:p>
    <w:p w14:paraId="45CBD5D2" w14:textId="77777777" w:rsidR="00133C6F" w:rsidRPr="00133C6F" w:rsidRDefault="004B4559" w:rsidP="00133C6F">
      <w:pPr>
        <w:pStyle w:val="NoSpacing"/>
        <w:rPr>
          <w:sz w:val="20"/>
          <w:szCs w:val="20"/>
          <w:lang w:val="lv-LV"/>
        </w:rPr>
      </w:pPr>
      <w:r w:rsidRPr="00133C6F">
        <w:rPr>
          <w:sz w:val="20"/>
          <w:szCs w:val="20"/>
          <w:lang w:val="lv-LV"/>
        </w:rPr>
        <w:t>Gaiķe, 20683994</w:t>
      </w:r>
    </w:p>
    <w:p w14:paraId="37D6BDC5" w14:textId="77777777" w:rsidR="005C7576" w:rsidRDefault="004B4559" w:rsidP="00133C6F">
      <w:pPr>
        <w:pStyle w:val="NoSpacing"/>
        <w:rPr>
          <w:sz w:val="20"/>
          <w:szCs w:val="20"/>
          <w:lang w:val="lv-LV"/>
        </w:rPr>
      </w:pPr>
      <w:r w:rsidRPr="00133C6F">
        <w:rPr>
          <w:sz w:val="20"/>
          <w:szCs w:val="20"/>
          <w:lang w:val="lv-LV"/>
        </w:rPr>
        <w:t xml:space="preserve">Anete.Gaike@lm.gov.lv </w:t>
      </w:r>
      <w:r w:rsidR="00D821EE">
        <w:rPr>
          <w:sz w:val="20"/>
          <w:szCs w:val="20"/>
          <w:lang w:val="lv-LV"/>
        </w:rPr>
        <w:t xml:space="preserve"> </w:t>
      </w:r>
    </w:p>
    <w:p w14:paraId="443AF84C" w14:textId="77777777" w:rsidR="005C7576" w:rsidRDefault="005C7576" w:rsidP="00102658">
      <w:pPr>
        <w:pStyle w:val="NoSpacing"/>
        <w:rPr>
          <w:sz w:val="20"/>
          <w:szCs w:val="20"/>
          <w:lang w:val="lv-LV"/>
        </w:rPr>
      </w:pPr>
    </w:p>
    <w:p w14:paraId="25544B43" w14:textId="77777777" w:rsidR="005C7576" w:rsidRDefault="004B4559" w:rsidP="00102658">
      <w:pPr>
        <w:pStyle w:val="NoSpacing"/>
        <w:rPr>
          <w:sz w:val="20"/>
          <w:szCs w:val="20"/>
          <w:lang w:val="lv-LV"/>
        </w:rPr>
      </w:pPr>
      <w:r>
        <w:rPr>
          <w:sz w:val="20"/>
          <w:szCs w:val="20"/>
          <w:lang w:val="lv-LV"/>
        </w:rPr>
        <w:t xml:space="preserve"> </w:t>
      </w:r>
    </w:p>
    <w:p w14:paraId="2DD8000A" w14:textId="77777777" w:rsidR="005C7576" w:rsidRDefault="005C7576" w:rsidP="00102658">
      <w:pPr>
        <w:pStyle w:val="NoSpacing"/>
        <w:rPr>
          <w:sz w:val="20"/>
          <w:szCs w:val="20"/>
          <w:lang w:val="lv-LV"/>
        </w:rPr>
      </w:pPr>
    </w:p>
    <w:p w14:paraId="52864A09" w14:textId="77777777" w:rsidR="002E1474" w:rsidRPr="00AE4838" w:rsidRDefault="002E1474" w:rsidP="00102658">
      <w:pPr>
        <w:pStyle w:val="NoSpacing"/>
        <w:rPr>
          <w:sz w:val="24"/>
          <w:szCs w:val="24"/>
          <w:lang w:val="lv-LV"/>
        </w:rPr>
      </w:pPr>
    </w:p>
    <w:sectPr w:rsidR="002E1474" w:rsidRPr="00AE4838" w:rsidSect="00236649">
      <w:footerReference w:type="default" r:id="rId8"/>
      <w:headerReference w:type="first" r:id="rId9"/>
      <w:footerReference w:type="first" r:id="rId10"/>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A59A" w14:textId="77777777" w:rsidR="00B44F66" w:rsidRDefault="00B44F66">
      <w:pPr>
        <w:spacing w:after="0" w:line="240" w:lineRule="auto"/>
      </w:pPr>
      <w:r>
        <w:separator/>
      </w:r>
    </w:p>
  </w:endnote>
  <w:endnote w:type="continuationSeparator" w:id="0">
    <w:p w14:paraId="7D8A141A" w14:textId="77777777" w:rsidR="00B44F66" w:rsidRDefault="00B4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3933" w14:textId="77777777" w:rsidR="000063B5" w:rsidRDefault="004B4559">
    <w:proofErr w:type="spellStart"/>
    <w:r>
      <w:rPr>
        <w:rFonts w:eastAsia="Times New Roman"/>
      </w:rPr>
      <w:t>Dokuments</w:t>
    </w:r>
    <w:proofErr w:type="spellEnd"/>
    <w:r>
      <w:rPr>
        <w:rFonts w:eastAsia="Times New Roman"/>
      </w:rPr>
      <w:t xml:space="preserve"> </w:t>
    </w:r>
    <w:proofErr w:type="spellStart"/>
    <w:r>
      <w:rPr>
        <w:rFonts w:eastAsia="Times New Roman"/>
      </w:rPr>
      <w:t>parakstīts</w:t>
    </w:r>
    <w:proofErr w:type="spellEnd"/>
    <w:r>
      <w:rPr>
        <w:rFonts w:eastAsia="Times New Roman"/>
      </w:rPr>
      <w:t xml:space="preserve"> </w:t>
    </w:r>
    <w:proofErr w:type="spellStart"/>
    <w:r>
      <w:rPr>
        <w:rFonts w:eastAsia="Times New Roman"/>
      </w:rPr>
      <w:t>ar</w:t>
    </w:r>
    <w:proofErr w:type="spellEnd"/>
    <w:r>
      <w:rPr>
        <w:rFonts w:eastAsia="Times New Roman"/>
      </w:rPr>
      <w:t xml:space="preserve"> </w:t>
    </w:r>
    <w:proofErr w:type="spellStart"/>
    <w:r>
      <w:rPr>
        <w:rFonts w:eastAsia="Times New Roman"/>
      </w:rPr>
      <w:t>drošu</w:t>
    </w:r>
    <w:proofErr w:type="spellEnd"/>
    <w:r>
      <w:rPr>
        <w:rFonts w:eastAsia="Times New Roman"/>
      </w:rPr>
      <w:t xml:space="preserve"> </w:t>
    </w:r>
    <w:proofErr w:type="spellStart"/>
    <w:r>
      <w:rPr>
        <w:rFonts w:eastAsia="Times New Roman"/>
      </w:rPr>
      <w:t>elektronisko</w:t>
    </w:r>
    <w:proofErr w:type="spellEnd"/>
    <w:r>
      <w:rPr>
        <w:rFonts w:eastAsia="Times New Roman"/>
      </w:rPr>
      <w:t xml:space="preserve"> </w:t>
    </w:r>
    <w:proofErr w:type="spellStart"/>
    <w:r>
      <w:rPr>
        <w:rFonts w:eastAsia="Times New Roman"/>
      </w:rPr>
      <w:t>parakstu</w:t>
    </w:r>
    <w:proofErr w:type="spellEnd"/>
    <w:r>
      <w:rPr>
        <w:rFonts w:eastAsia="Times New Roman"/>
      </w:rPr>
      <w:t xml:space="preserve"> un </w:t>
    </w:r>
    <w:proofErr w:type="spellStart"/>
    <w:r>
      <w:rPr>
        <w:rFonts w:eastAsia="Times New Roman"/>
      </w:rPr>
      <w:t>satur</w:t>
    </w:r>
    <w:proofErr w:type="spellEnd"/>
    <w:r>
      <w:rPr>
        <w:rFonts w:eastAsia="Times New Roman"/>
      </w:rPr>
      <w:t xml:space="preserve"> </w:t>
    </w:r>
    <w:proofErr w:type="spellStart"/>
    <w:r>
      <w:rPr>
        <w:rFonts w:eastAsia="Times New Roman"/>
      </w:rPr>
      <w:t>laika</w:t>
    </w:r>
    <w:proofErr w:type="spellEnd"/>
    <w:r>
      <w:rPr>
        <w:rFonts w:eastAsia="Times New Roman"/>
      </w:rPr>
      <w:t xml:space="preserve"> </w:t>
    </w:r>
    <w:proofErr w:type="spellStart"/>
    <w:r>
      <w:rPr>
        <w:rFonts w:eastAsia="Times New Roman"/>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8FED" w14:textId="77777777" w:rsidR="000063B5" w:rsidRDefault="004B4559">
    <w:proofErr w:type="spellStart"/>
    <w:r>
      <w:rPr>
        <w:rFonts w:eastAsia="Times New Roman"/>
      </w:rPr>
      <w:t>Dokuments</w:t>
    </w:r>
    <w:proofErr w:type="spellEnd"/>
    <w:r>
      <w:rPr>
        <w:rFonts w:eastAsia="Times New Roman"/>
      </w:rPr>
      <w:t xml:space="preserve"> </w:t>
    </w:r>
    <w:proofErr w:type="spellStart"/>
    <w:r>
      <w:rPr>
        <w:rFonts w:eastAsia="Times New Roman"/>
      </w:rPr>
      <w:t>parakstīts</w:t>
    </w:r>
    <w:proofErr w:type="spellEnd"/>
    <w:r>
      <w:rPr>
        <w:rFonts w:eastAsia="Times New Roman"/>
      </w:rPr>
      <w:t xml:space="preserve"> </w:t>
    </w:r>
    <w:proofErr w:type="spellStart"/>
    <w:r>
      <w:rPr>
        <w:rFonts w:eastAsia="Times New Roman"/>
      </w:rPr>
      <w:t>ar</w:t>
    </w:r>
    <w:proofErr w:type="spellEnd"/>
    <w:r>
      <w:rPr>
        <w:rFonts w:eastAsia="Times New Roman"/>
      </w:rPr>
      <w:t xml:space="preserve"> </w:t>
    </w:r>
    <w:proofErr w:type="spellStart"/>
    <w:r>
      <w:rPr>
        <w:rFonts w:eastAsia="Times New Roman"/>
      </w:rPr>
      <w:t>drošu</w:t>
    </w:r>
    <w:proofErr w:type="spellEnd"/>
    <w:r>
      <w:rPr>
        <w:rFonts w:eastAsia="Times New Roman"/>
      </w:rPr>
      <w:t xml:space="preserve"> </w:t>
    </w:r>
    <w:proofErr w:type="spellStart"/>
    <w:r>
      <w:rPr>
        <w:rFonts w:eastAsia="Times New Roman"/>
      </w:rPr>
      <w:t>elektronisko</w:t>
    </w:r>
    <w:proofErr w:type="spellEnd"/>
    <w:r>
      <w:rPr>
        <w:rFonts w:eastAsia="Times New Roman"/>
      </w:rPr>
      <w:t xml:space="preserve"> </w:t>
    </w:r>
    <w:proofErr w:type="spellStart"/>
    <w:r>
      <w:rPr>
        <w:rFonts w:eastAsia="Times New Roman"/>
      </w:rPr>
      <w:t>parakstu</w:t>
    </w:r>
    <w:proofErr w:type="spellEnd"/>
    <w:r>
      <w:rPr>
        <w:rFonts w:eastAsia="Times New Roman"/>
      </w:rPr>
      <w:t xml:space="preserve"> un </w:t>
    </w:r>
    <w:proofErr w:type="spellStart"/>
    <w:r>
      <w:rPr>
        <w:rFonts w:eastAsia="Times New Roman"/>
      </w:rPr>
      <w:t>satur</w:t>
    </w:r>
    <w:proofErr w:type="spellEnd"/>
    <w:r>
      <w:rPr>
        <w:rFonts w:eastAsia="Times New Roman"/>
      </w:rPr>
      <w:t xml:space="preserve"> </w:t>
    </w:r>
    <w:proofErr w:type="spellStart"/>
    <w:r>
      <w:rPr>
        <w:rFonts w:eastAsia="Times New Roman"/>
      </w:rPr>
      <w:t>laika</w:t>
    </w:r>
    <w:proofErr w:type="spellEnd"/>
    <w:r>
      <w:rPr>
        <w:rFonts w:eastAsia="Times New Roman"/>
      </w:rPr>
      <w:t xml:space="preserve"> </w:t>
    </w:r>
    <w:proofErr w:type="spellStart"/>
    <w:r>
      <w:rPr>
        <w:rFonts w:eastAsia="Times New Roman"/>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8D39" w14:textId="77777777" w:rsidR="00B44F66" w:rsidRDefault="00B44F66">
      <w:pPr>
        <w:spacing w:after="0" w:line="240" w:lineRule="auto"/>
      </w:pPr>
      <w:r>
        <w:separator/>
      </w:r>
    </w:p>
  </w:footnote>
  <w:footnote w:type="continuationSeparator" w:id="0">
    <w:p w14:paraId="3AACDBBD" w14:textId="77777777" w:rsidR="00B44F66" w:rsidRDefault="00B44F66">
      <w:pPr>
        <w:spacing w:after="0" w:line="240" w:lineRule="auto"/>
      </w:pPr>
      <w:r>
        <w:continuationSeparator/>
      </w:r>
    </w:p>
  </w:footnote>
  <w:footnote w:id="1">
    <w:p w14:paraId="337CBF24" w14:textId="77777777" w:rsidR="00133C6F" w:rsidRPr="00723DC7" w:rsidRDefault="004B4559" w:rsidP="00133C6F">
      <w:pPr>
        <w:pStyle w:val="FootnoteText"/>
        <w:jc w:val="both"/>
        <w:rPr>
          <w:lang w:val="lv-LV"/>
        </w:rPr>
      </w:pPr>
      <w:r>
        <w:rPr>
          <w:rStyle w:val="FootnoteReference"/>
        </w:rPr>
        <w:footnoteRef/>
      </w:r>
      <w:r>
        <w:t xml:space="preserve"> </w:t>
      </w:r>
      <w:r w:rsidRPr="00723DC7">
        <w:rPr>
          <w:lang w:val="lv-LV"/>
        </w:rPr>
        <w:t>Ministru kabineta 2023.</w:t>
      </w:r>
      <w:r>
        <w:rPr>
          <w:lang w:val="lv-LV"/>
        </w:rPr>
        <w:t> </w:t>
      </w:r>
      <w:r w:rsidRPr="00723DC7">
        <w:rPr>
          <w:lang w:val="lv-LV"/>
        </w:rPr>
        <w:t>gada 19.</w:t>
      </w:r>
      <w:r>
        <w:rPr>
          <w:lang w:val="lv-LV"/>
        </w:rPr>
        <w:t> </w:t>
      </w:r>
      <w:r w:rsidRPr="00723DC7">
        <w:rPr>
          <w:lang w:val="lv-LV"/>
        </w:rPr>
        <w:t>decembra noteikum</w:t>
      </w:r>
      <w:r>
        <w:rPr>
          <w:lang w:val="lv-LV"/>
        </w:rPr>
        <w:t>i</w:t>
      </w:r>
      <w:r w:rsidRPr="00723DC7">
        <w:rPr>
          <w:lang w:val="lv-LV"/>
        </w:rPr>
        <w:t xml:space="preserve"> Nr.</w:t>
      </w:r>
      <w:r>
        <w:rPr>
          <w:lang w:val="lv-LV"/>
        </w:rPr>
        <w:t> </w:t>
      </w:r>
      <w:r w:rsidRPr="00723DC7">
        <w:rPr>
          <w:lang w:val="lv-LV"/>
        </w:rPr>
        <w:t xml:space="preserve">818 </w:t>
      </w:r>
      <w:r>
        <w:rPr>
          <w:lang w:val="lv-LV"/>
        </w:rPr>
        <w:t>“</w:t>
      </w:r>
      <w:r w:rsidRPr="00E5374B">
        <w:rPr>
          <w:lang w:val="lv-LV"/>
        </w:rPr>
        <w:t xml:space="preserve">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w:t>
      </w:r>
      <w:r>
        <w:rPr>
          <w:lang w:val="lv-LV"/>
        </w:rPr>
        <w:t>“</w:t>
      </w:r>
      <w:r w:rsidRPr="00E5374B">
        <w:rPr>
          <w:lang w:val="lv-LV"/>
        </w:rPr>
        <w:t>Atbalsts sociālajai uzņēmējdarbībai un sociālās ekonomikas attīstībai</w:t>
      </w:r>
      <w:r>
        <w:rPr>
          <w:lang w:val="lv-LV"/>
        </w:rPr>
        <w:t>”</w:t>
      </w:r>
      <w:r w:rsidRPr="00E5374B">
        <w:rPr>
          <w:lang w:val="lv-LV"/>
        </w:rPr>
        <w:t xml:space="preserve"> īstenošanas noteikumi</w:t>
      </w:r>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7D5D" w14:textId="77777777" w:rsidR="00236649" w:rsidRPr="00D64E88" w:rsidRDefault="00236649" w:rsidP="00D64E88">
    <w:pPr>
      <w:pStyle w:val="NoSpacing"/>
      <w:rPr>
        <w:sz w:val="22"/>
      </w:rPr>
    </w:pPr>
  </w:p>
  <w:p w14:paraId="47FE1EEB" w14:textId="77777777" w:rsidR="00236649" w:rsidRPr="00D64E88" w:rsidRDefault="00236649" w:rsidP="00D64E88">
    <w:pPr>
      <w:pStyle w:val="NoSpacing"/>
      <w:rPr>
        <w:sz w:val="22"/>
      </w:rPr>
    </w:pPr>
  </w:p>
  <w:p w14:paraId="7AF4F7CE" w14:textId="77777777" w:rsidR="00236649" w:rsidRPr="00D64E88" w:rsidRDefault="00236649" w:rsidP="00D64E88">
    <w:pPr>
      <w:pStyle w:val="NoSpacing"/>
      <w:rPr>
        <w:sz w:val="22"/>
      </w:rPr>
    </w:pPr>
  </w:p>
  <w:p w14:paraId="22D3A342" w14:textId="77777777" w:rsidR="00236649" w:rsidRPr="00D64E88" w:rsidRDefault="00236649" w:rsidP="00D64E88">
    <w:pPr>
      <w:pStyle w:val="NoSpacing"/>
      <w:rPr>
        <w:sz w:val="22"/>
      </w:rPr>
    </w:pPr>
  </w:p>
  <w:p w14:paraId="2C2AD38D" w14:textId="77777777" w:rsidR="00236649" w:rsidRPr="00D64E88" w:rsidRDefault="00236649" w:rsidP="00D64E88">
    <w:pPr>
      <w:pStyle w:val="NoSpacing"/>
      <w:rPr>
        <w:sz w:val="22"/>
      </w:rPr>
    </w:pPr>
  </w:p>
  <w:p w14:paraId="02028106" w14:textId="77777777" w:rsidR="00236649" w:rsidRPr="00D64E88" w:rsidRDefault="00236649" w:rsidP="00D64E88">
    <w:pPr>
      <w:pStyle w:val="NoSpacing"/>
      <w:rPr>
        <w:sz w:val="22"/>
      </w:rPr>
    </w:pPr>
  </w:p>
  <w:p w14:paraId="351C6A85" w14:textId="77777777" w:rsidR="00236649" w:rsidRPr="00D64E88" w:rsidRDefault="00236649" w:rsidP="00D64E88">
    <w:pPr>
      <w:pStyle w:val="NoSpacing"/>
      <w:rPr>
        <w:sz w:val="22"/>
      </w:rPr>
    </w:pPr>
  </w:p>
  <w:p w14:paraId="1E2F31A9" w14:textId="77777777" w:rsidR="00236649" w:rsidRPr="00D64E88" w:rsidRDefault="00236649" w:rsidP="00D64E88">
    <w:pPr>
      <w:pStyle w:val="NoSpacing"/>
      <w:rPr>
        <w:sz w:val="22"/>
      </w:rPr>
    </w:pPr>
  </w:p>
  <w:p w14:paraId="1390D380" w14:textId="77777777" w:rsidR="00236649" w:rsidRPr="00D64E88" w:rsidRDefault="00236649" w:rsidP="00D64E88">
    <w:pPr>
      <w:pStyle w:val="NoSpacing"/>
      <w:rPr>
        <w:sz w:val="22"/>
      </w:rPr>
    </w:pPr>
  </w:p>
  <w:p w14:paraId="360E8455" w14:textId="77777777" w:rsidR="00236649" w:rsidRPr="00D64E88" w:rsidRDefault="00236649" w:rsidP="00D64E88">
    <w:pPr>
      <w:pStyle w:val="NoSpacing"/>
      <w:rPr>
        <w:sz w:val="22"/>
      </w:rPr>
    </w:pPr>
  </w:p>
  <w:p w14:paraId="65F77882" w14:textId="77777777" w:rsidR="00236649" w:rsidRPr="00D64E88" w:rsidRDefault="004B4559" w:rsidP="00D64E88">
    <w:pPr>
      <w:pStyle w:val="NoSpacing"/>
      <w:rPr>
        <w:sz w:val="22"/>
      </w:rPr>
    </w:pPr>
    <w:r w:rsidRPr="00D64E88">
      <w:rPr>
        <w:noProof/>
        <w:sz w:val="22"/>
      </w:rPr>
      <w:drawing>
        <wp:anchor distT="0" distB="0" distL="114300" distR="114300" simplePos="0" relativeHeight="251658240" behindDoc="1" locked="0" layoutInCell="1" allowOverlap="1" wp14:anchorId="1E9AAEAF" wp14:editId="2F2C3230">
          <wp:simplePos x="0" y="0"/>
          <wp:positionH relativeFrom="page">
            <wp:posOffset>1085850</wp:posOffset>
          </wp:positionH>
          <wp:positionV relativeFrom="page">
            <wp:posOffset>742950</wp:posOffset>
          </wp:positionV>
          <wp:extent cx="5936615"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D64E88">
      <w:rPr>
        <w:noProof/>
        <w:sz w:val="22"/>
      </w:rPr>
      <mc:AlternateContent>
        <mc:Choice Requires="wps">
          <w:drawing>
            <wp:anchor distT="0" distB="0" distL="114300" distR="114300" simplePos="0" relativeHeight="251661312" behindDoc="1" locked="0" layoutInCell="1" allowOverlap="1" wp14:anchorId="4D8E2145" wp14:editId="609F38FE">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E82F1" w14:textId="77777777" w:rsidR="00236649" w:rsidRPr="00FC5C15" w:rsidRDefault="004B4559" w:rsidP="00FC5C15">
                          <w:pPr>
                            <w:pStyle w:val="NoSpacing"/>
                            <w:jc w:val="center"/>
                            <w:rPr>
                              <w:sz w:val="17"/>
                              <w:szCs w:val="17"/>
                              <w:lang w:val="lv-LV"/>
                            </w:rPr>
                          </w:pPr>
                          <w:r w:rsidRPr="00FC5C15">
                            <w:rPr>
                              <w:sz w:val="17"/>
                              <w:szCs w:val="17"/>
                              <w:lang w:val="lv-LV"/>
                            </w:rPr>
                            <w:t xml:space="preserve">Skolas iela 28, Rīga, LV - 1331, tālr. </w:t>
                          </w:r>
                          <w:r w:rsidR="0049733E">
                            <w:rPr>
                              <w:sz w:val="17"/>
                              <w:szCs w:val="17"/>
                              <w:lang w:val="lv-LV"/>
                            </w:rPr>
                            <w:t>20688267</w:t>
                          </w:r>
                          <w:r w:rsidR="00C179E9">
                            <w:rPr>
                              <w:sz w:val="17"/>
                              <w:szCs w:val="17"/>
                              <w:lang w:val="lv-LV"/>
                            </w:rPr>
                            <w:t>,</w:t>
                          </w:r>
                          <w:r w:rsidRPr="00FC5C15">
                            <w:rPr>
                              <w:sz w:val="17"/>
                              <w:szCs w:val="17"/>
                              <w:lang w:val="lv-LV"/>
                            </w:rPr>
                            <w:t xml:space="preserve"> e-pasts lm@lm.gov.lv, www.lm.gov.lv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236649" w:rsidRPr="00FC5C15" w:rsidP="00FC5C15" w14:paraId="31EFBA14" w14:textId="77777777">
                    <w:pPr>
                      <w:pStyle w:val="NoSpacing"/>
                      <w:jc w:val="center"/>
                      <w:rPr>
                        <w:sz w:val="17"/>
                        <w:szCs w:val="17"/>
                        <w:lang w:val="lv-LV"/>
                      </w:rPr>
                    </w:pPr>
                    <w:r w:rsidRPr="00FC5C15">
                      <w:rPr>
                        <w:sz w:val="17"/>
                        <w:szCs w:val="17"/>
                        <w:lang w:val="lv-LV"/>
                      </w:rPr>
                      <w:t xml:space="preserve">Skolas iela 28, Rīga, LV - 1331, tālr. </w:t>
                    </w:r>
                    <w:r w:rsidR="0049733E">
                      <w:rPr>
                        <w:sz w:val="17"/>
                        <w:szCs w:val="17"/>
                        <w:lang w:val="lv-LV"/>
                      </w:rPr>
                      <w:t>20688267</w:t>
                    </w:r>
                    <w:r w:rsidR="00C179E9">
                      <w:rPr>
                        <w:sz w:val="17"/>
                        <w:szCs w:val="17"/>
                        <w:lang w:val="lv-LV"/>
                      </w:rPr>
                      <w:t>,</w:t>
                    </w:r>
                    <w:r w:rsidRPr="00FC5C15">
                      <w:rPr>
                        <w:sz w:val="17"/>
                        <w:szCs w:val="17"/>
                        <w:lang w:val="lv-LV"/>
                      </w:rPr>
                      <w:t xml:space="preserve"> e-pasts lm@lm.gov.lv, www.lm.gov.lv</w:t>
                    </w:r>
                  </w:p>
                </w:txbxContent>
              </v:textbox>
            </v:shape>
          </w:pict>
        </mc:Fallback>
      </mc:AlternateContent>
    </w:r>
    <w:r w:rsidRPr="00D64E88">
      <w:rPr>
        <w:noProof/>
        <w:sz w:val="22"/>
      </w:rPr>
      <mc:AlternateContent>
        <mc:Choice Requires="wpg">
          <w:drawing>
            <wp:anchor distT="0" distB="0" distL="114300" distR="114300" simplePos="0" relativeHeight="251659264" behindDoc="1" locked="0" layoutInCell="1" allowOverlap="1" wp14:anchorId="575A5BD0" wp14:editId="408117D9">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61D705F1" w14:textId="77777777" w:rsidR="00236649" w:rsidRPr="00D64E88" w:rsidRDefault="00236649" w:rsidP="00D64E88">
    <w:pPr>
      <w:pStyle w:val="NoSpacing"/>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1077749634">
    <w:abstractNumId w:val="10"/>
  </w:num>
  <w:num w:numId="2" w16cid:durableId="1418554121">
    <w:abstractNumId w:val="8"/>
  </w:num>
  <w:num w:numId="3" w16cid:durableId="730612506">
    <w:abstractNumId w:val="7"/>
  </w:num>
  <w:num w:numId="4" w16cid:durableId="1444227145">
    <w:abstractNumId w:val="6"/>
  </w:num>
  <w:num w:numId="5" w16cid:durableId="82262522">
    <w:abstractNumId w:val="5"/>
  </w:num>
  <w:num w:numId="6" w16cid:durableId="117572497">
    <w:abstractNumId w:val="9"/>
  </w:num>
  <w:num w:numId="7" w16cid:durableId="500699668">
    <w:abstractNumId w:val="4"/>
  </w:num>
  <w:num w:numId="8" w16cid:durableId="1848055739">
    <w:abstractNumId w:val="3"/>
  </w:num>
  <w:num w:numId="9" w16cid:durableId="227765667">
    <w:abstractNumId w:val="2"/>
  </w:num>
  <w:num w:numId="10" w16cid:durableId="1897087810">
    <w:abstractNumId w:val="1"/>
  </w:num>
  <w:num w:numId="11" w16cid:durableId="18613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063B5"/>
    <w:rsid w:val="00030349"/>
    <w:rsid w:val="00072B59"/>
    <w:rsid w:val="000D7D77"/>
    <w:rsid w:val="00102658"/>
    <w:rsid w:val="00124173"/>
    <w:rsid w:val="00133C6F"/>
    <w:rsid w:val="00153879"/>
    <w:rsid w:val="001C6FBA"/>
    <w:rsid w:val="00236649"/>
    <w:rsid w:val="002455DD"/>
    <w:rsid w:val="00275B9E"/>
    <w:rsid w:val="002B2C71"/>
    <w:rsid w:val="002B3077"/>
    <w:rsid w:val="002E1474"/>
    <w:rsid w:val="0032743F"/>
    <w:rsid w:val="00335032"/>
    <w:rsid w:val="00352433"/>
    <w:rsid w:val="00452615"/>
    <w:rsid w:val="00457099"/>
    <w:rsid w:val="00480B06"/>
    <w:rsid w:val="00486DB9"/>
    <w:rsid w:val="00493308"/>
    <w:rsid w:val="0049733E"/>
    <w:rsid w:val="004B4559"/>
    <w:rsid w:val="004C72F0"/>
    <w:rsid w:val="004E7CAF"/>
    <w:rsid w:val="00535564"/>
    <w:rsid w:val="005C7576"/>
    <w:rsid w:val="005E2710"/>
    <w:rsid w:val="00632B8C"/>
    <w:rsid w:val="00663C3A"/>
    <w:rsid w:val="006C1639"/>
    <w:rsid w:val="00723DC7"/>
    <w:rsid w:val="00747CCB"/>
    <w:rsid w:val="00753A86"/>
    <w:rsid w:val="007554AF"/>
    <w:rsid w:val="007704BD"/>
    <w:rsid w:val="00783A1D"/>
    <w:rsid w:val="007B3BA5"/>
    <w:rsid w:val="007B48EC"/>
    <w:rsid w:val="007E4D1F"/>
    <w:rsid w:val="007F0676"/>
    <w:rsid w:val="007F1787"/>
    <w:rsid w:val="007F393E"/>
    <w:rsid w:val="00815277"/>
    <w:rsid w:val="00876C21"/>
    <w:rsid w:val="008C0B9D"/>
    <w:rsid w:val="008E22FF"/>
    <w:rsid w:val="008F6FA5"/>
    <w:rsid w:val="00954D5A"/>
    <w:rsid w:val="00961172"/>
    <w:rsid w:val="0096621C"/>
    <w:rsid w:val="00AE4838"/>
    <w:rsid w:val="00AF0D2C"/>
    <w:rsid w:val="00AF35BB"/>
    <w:rsid w:val="00AF60F1"/>
    <w:rsid w:val="00B44F66"/>
    <w:rsid w:val="00C179E9"/>
    <w:rsid w:val="00C47F57"/>
    <w:rsid w:val="00C91D24"/>
    <w:rsid w:val="00C97C45"/>
    <w:rsid w:val="00CA7FB1"/>
    <w:rsid w:val="00CE2BA7"/>
    <w:rsid w:val="00D103BD"/>
    <w:rsid w:val="00D21FA6"/>
    <w:rsid w:val="00D35CF4"/>
    <w:rsid w:val="00D55B4B"/>
    <w:rsid w:val="00D64E88"/>
    <w:rsid w:val="00D821EE"/>
    <w:rsid w:val="00DB64AD"/>
    <w:rsid w:val="00E23DE7"/>
    <w:rsid w:val="00E35574"/>
    <w:rsid w:val="00E365CE"/>
    <w:rsid w:val="00E5374B"/>
    <w:rsid w:val="00E61559"/>
    <w:rsid w:val="00E64D67"/>
    <w:rsid w:val="00F340ED"/>
    <w:rsid w:val="00F60586"/>
    <w:rsid w:val="00FC5C1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B552"/>
  <w15:chartTrackingRefBased/>
  <w15:docId w15:val="{59C4FED7-E7CF-432A-AA6E-929E2CAF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AF"/>
    <w:pPr>
      <w:widowControl w:val="0"/>
      <w:spacing w:after="200" w:line="276" w:lineRule="auto"/>
      <w:jc w:val="center"/>
    </w:pPr>
    <w:rPr>
      <w:rFonts w:ascii="Times New Roman" w:hAnsi="Times New Roman"/>
      <w:i/>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102658"/>
    <w:pPr>
      <w:widowControl w:val="0"/>
      <w:jc w:val="both"/>
    </w:pPr>
    <w:rPr>
      <w:rFonts w:ascii="Times New Roman" w:hAnsi="Times New Roman"/>
      <w:sz w:val="28"/>
      <w:szCs w:val="22"/>
      <w:lang w:val="en-US" w:eastAsia="en-US"/>
    </w:rPr>
  </w:style>
  <w:style w:type="paragraph" w:styleId="FootnoteText">
    <w:name w:val="footnote text"/>
    <w:basedOn w:val="Normal"/>
    <w:link w:val="FootnoteTextChar"/>
    <w:uiPriority w:val="99"/>
    <w:semiHidden/>
    <w:unhideWhenUsed/>
    <w:rsid w:val="00133C6F"/>
    <w:pPr>
      <w:widowControl/>
      <w:spacing w:after="0" w:line="240" w:lineRule="auto"/>
      <w:jc w:val="left"/>
    </w:pPr>
    <w:rPr>
      <w:rFonts w:eastAsia="Times New Roman"/>
      <w:i w:val="0"/>
      <w:szCs w:val="20"/>
      <w:lang w:val="en-GB"/>
    </w:rPr>
  </w:style>
  <w:style w:type="character" w:customStyle="1" w:styleId="FootnoteTextChar">
    <w:name w:val="Footnote Text Char"/>
    <w:basedOn w:val="DefaultParagraphFont"/>
    <w:link w:val="FootnoteText"/>
    <w:uiPriority w:val="99"/>
    <w:semiHidden/>
    <w:rsid w:val="00133C6F"/>
    <w:rPr>
      <w:rFonts w:ascii="Times New Roman" w:eastAsia="Times New Roman" w:hAnsi="Times New Roman"/>
      <w:lang w:val="en-GB" w:eastAsia="en-US"/>
    </w:rPr>
  </w:style>
  <w:style w:type="character" w:styleId="FootnoteReference">
    <w:name w:val="footnote reference"/>
    <w:basedOn w:val="DefaultParagraphFont"/>
    <w:uiPriority w:val="99"/>
    <w:semiHidden/>
    <w:unhideWhenUsed/>
    <w:rsid w:val="00133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4BEB-1C2F-467C-B228-06656AF6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3353</Words>
  <Characters>1912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Gaiķe</dc:creator>
  <cp:lastModifiedBy>Darbonis</cp:lastModifiedBy>
  <cp:revision>2</cp:revision>
  <dcterms:created xsi:type="dcterms:W3CDTF">2026-01-26T10:14:00Z</dcterms:created>
  <dcterms:modified xsi:type="dcterms:W3CDTF">2026-01-26T10:14:00Z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